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0FFED">
      <w:r>
        <w:t xml:space="preserve">                                                           </w:t>
      </w:r>
    </w:p>
    <w:tbl>
      <w:tblPr>
        <w:tblStyle w:val="3"/>
        <w:tblW w:w="0" w:type="auto"/>
        <w:tblInd w:w="4644" w:type="dxa"/>
        <w:tblLayout w:type="autofit"/>
        <w:tblCellMar>
          <w:top w:w="0" w:type="dxa"/>
          <w:left w:w="108" w:type="dxa"/>
          <w:bottom w:w="0" w:type="dxa"/>
          <w:right w:w="108" w:type="dxa"/>
        </w:tblCellMar>
      </w:tblPr>
      <w:tblGrid>
        <w:gridCol w:w="4926"/>
      </w:tblGrid>
      <w:tr w14:paraId="4CD800DA">
        <w:tblPrEx>
          <w:tblCellMar>
            <w:top w:w="0" w:type="dxa"/>
            <w:left w:w="108" w:type="dxa"/>
            <w:bottom w:w="0" w:type="dxa"/>
            <w:right w:w="108" w:type="dxa"/>
          </w:tblCellMar>
        </w:tblPrEx>
        <w:tc>
          <w:tcPr>
            <w:tcW w:w="4926" w:type="dxa"/>
          </w:tcPr>
          <w:p w14:paraId="40639079">
            <w:pPr>
              <w:ind w:firstLine="0"/>
              <w:jc w:val="left"/>
              <w:rPr>
                <w:szCs w:val="28"/>
              </w:rPr>
            </w:pPr>
            <w:r>
              <w:rPr>
                <w:szCs w:val="28"/>
              </w:rPr>
              <w:t xml:space="preserve">УТВЕРЖДЕНА                      </w:t>
            </w:r>
          </w:p>
          <w:p w14:paraId="37A86287">
            <w:pPr>
              <w:ind w:firstLine="0"/>
              <w:jc w:val="left"/>
              <w:rPr>
                <w:szCs w:val="28"/>
              </w:rPr>
            </w:pPr>
            <w:r>
              <w:rPr>
                <w:szCs w:val="28"/>
              </w:rPr>
              <w:t>постановлением администрации Лебяжского</w:t>
            </w:r>
            <w:r>
              <w:rPr>
                <w:rFonts w:hint="default"/>
                <w:szCs w:val="28"/>
                <w:lang w:val="ru-RU"/>
              </w:rPr>
              <w:t xml:space="preserve"> </w:t>
            </w:r>
            <w:r>
              <w:rPr>
                <w:szCs w:val="28"/>
                <w:lang w:val="ru-RU"/>
              </w:rPr>
              <w:t>района</w:t>
            </w:r>
            <w:r>
              <w:rPr>
                <w:szCs w:val="28"/>
              </w:rPr>
              <w:t xml:space="preserve"> </w:t>
            </w:r>
          </w:p>
          <w:p w14:paraId="3EB45E52">
            <w:pPr>
              <w:ind w:firstLine="0"/>
              <w:jc w:val="left"/>
              <w:rPr>
                <w:sz w:val="24"/>
              </w:rPr>
            </w:pPr>
            <w:r>
              <w:rPr>
                <w:szCs w:val="28"/>
              </w:rPr>
              <w:t>от  08.10.2021 № 349</w:t>
            </w:r>
            <w:r>
              <w:rPr>
                <w:sz w:val="24"/>
              </w:rPr>
              <w:t xml:space="preserve">                                        </w:t>
            </w:r>
          </w:p>
        </w:tc>
      </w:tr>
    </w:tbl>
    <w:p w14:paraId="740AA5C3">
      <w:r>
        <w:t xml:space="preserve">                                                                            </w:t>
      </w:r>
    </w:p>
    <w:p w14:paraId="76321D24">
      <w:r>
        <w:t xml:space="preserve">                                                                            </w:t>
      </w:r>
    </w:p>
    <w:p w14:paraId="6E82EF91">
      <w:r>
        <w:t xml:space="preserve">                                                                            </w:t>
      </w:r>
    </w:p>
    <w:p w14:paraId="652F5881">
      <w:pPr>
        <w:pStyle w:val="42"/>
        <w:widowControl/>
        <w:ind w:firstLine="709"/>
        <w:contextualSpacing/>
        <w:jc w:val="both"/>
        <w:rPr>
          <w:sz w:val="28"/>
          <w:szCs w:val="28"/>
        </w:rPr>
      </w:pPr>
    </w:p>
    <w:p w14:paraId="2CE2564D">
      <w:pPr>
        <w:pStyle w:val="42"/>
        <w:widowControl/>
        <w:ind w:firstLine="709"/>
        <w:contextualSpacing/>
        <w:jc w:val="both"/>
        <w:rPr>
          <w:sz w:val="28"/>
          <w:szCs w:val="28"/>
        </w:rPr>
      </w:pPr>
    </w:p>
    <w:p w14:paraId="45F57CBA">
      <w:pPr>
        <w:pStyle w:val="42"/>
        <w:widowControl/>
        <w:ind w:firstLine="709"/>
        <w:contextualSpacing/>
        <w:jc w:val="both"/>
        <w:rPr>
          <w:sz w:val="28"/>
          <w:szCs w:val="28"/>
        </w:rPr>
      </w:pPr>
    </w:p>
    <w:p w14:paraId="13C49394">
      <w:pPr>
        <w:pStyle w:val="42"/>
        <w:widowControl/>
        <w:contextualSpacing/>
        <w:jc w:val="both"/>
        <w:rPr>
          <w:sz w:val="28"/>
          <w:szCs w:val="28"/>
        </w:rPr>
      </w:pPr>
    </w:p>
    <w:p w14:paraId="17E24CE9">
      <w:pPr>
        <w:pStyle w:val="42"/>
        <w:widowControl/>
        <w:contextualSpacing/>
        <w:jc w:val="both"/>
        <w:rPr>
          <w:sz w:val="28"/>
          <w:szCs w:val="28"/>
        </w:rPr>
      </w:pPr>
    </w:p>
    <w:p w14:paraId="5112FED7">
      <w:pPr>
        <w:pStyle w:val="42"/>
        <w:widowControl/>
        <w:ind w:firstLine="709"/>
        <w:contextualSpacing/>
        <w:jc w:val="both"/>
        <w:rPr>
          <w:sz w:val="28"/>
          <w:szCs w:val="28"/>
        </w:rPr>
      </w:pPr>
    </w:p>
    <w:p w14:paraId="6BB6DA1E">
      <w:pPr>
        <w:pStyle w:val="42"/>
        <w:widowControl/>
        <w:ind w:firstLine="709"/>
        <w:contextualSpacing/>
        <w:jc w:val="both"/>
        <w:rPr>
          <w:sz w:val="28"/>
          <w:szCs w:val="28"/>
        </w:rPr>
      </w:pPr>
    </w:p>
    <w:p w14:paraId="09B9B69F">
      <w:pPr>
        <w:pStyle w:val="42"/>
        <w:widowControl/>
        <w:ind w:firstLine="709"/>
        <w:contextualSpacing/>
        <w:jc w:val="center"/>
        <w:rPr>
          <w:sz w:val="28"/>
          <w:szCs w:val="28"/>
        </w:rPr>
      </w:pPr>
      <w:r>
        <w:rPr>
          <w:sz w:val="28"/>
          <w:szCs w:val="28"/>
        </w:rPr>
        <w:t>МУНИЦИПАЛЬНАЯ ПРОГРАММА</w:t>
      </w:r>
    </w:p>
    <w:p w14:paraId="229EC2BB">
      <w:pPr>
        <w:pStyle w:val="42"/>
        <w:widowControl/>
        <w:ind w:firstLine="709"/>
        <w:contextualSpacing/>
        <w:jc w:val="center"/>
        <w:rPr>
          <w:sz w:val="28"/>
          <w:szCs w:val="28"/>
        </w:rPr>
      </w:pPr>
    </w:p>
    <w:p w14:paraId="12A186A7">
      <w:pPr>
        <w:pStyle w:val="42"/>
        <w:widowControl/>
        <w:ind w:firstLine="709"/>
        <w:contextualSpacing/>
        <w:jc w:val="center"/>
        <w:rPr>
          <w:sz w:val="40"/>
          <w:szCs w:val="28"/>
        </w:rPr>
      </w:pPr>
      <w:r>
        <w:rPr>
          <w:sz w:val="40"/>
          <w:szCs w:val="28"/>
        </w:rPr>
        <w:t>"РАЗВИТИЕ КУЛЬТУРЫ И ТУРИЗМА</w:t>
      </w:r>
    </w:p>
    <w:p w14:paraId="417B6739">
      <w:pPr>
        <w:pStyle w:val="42"/>
        <w:widowControl/>
        <w:ind w:firstLine="709"/>
        <w:contextualSpacing/>
        <w:jc w:val="center"/>
        <w:rPr>
          <w:sz w:val="40"/>
          <w:szCs w:val="28"/>
        </w:rPr>
      </w:pPr>
      <w:r>
        <w:rPr>
          <w:sz w:val="40"/>
          <w:szCs w:val="28"/>
        </w:rPr>
        <w:t>В ЛЕБЯЖСКОМ  МУНИЦИПАЛЬНОМ ОКРУГЕ"</w:t>
      </w:r>
    </w:p>
    <w:p w14:paraId="0306C12E">
      <w:pPr>
        <w:pStyle w:val="42"/>
        <w:widowControl/>
        <w:ind w:firstLine="709"/>
        <w:contextualSpacing/>
        <w:jc w:val="center"/>
        <w:rPr>
          <w:rFonts w:hint="default"/>
          <w:b w:val="0"/>
          <w:bCs w:val="0"/>
          <w:sz w:val="24"/>
          <w:lang w:val="ru-RU"/>
        </w:rPr>
      </w:pPr>
      <w:r>
        <w:rPr>
          <w:b w:val="0"/>
          <w:bCs w:val="0"/>
          <w:sz w:val="24"/>
        </w:rPr>
        <w:t>(в редакции постановлений администрации Лебяжского</w:t>
      </w:r>
      <w:r>
        <w:rPr>
          <w:rFonts w:hint="default"/>
          <w:b w:val="0"/>
          <w:bCs w:val="0"/>
          <w:sz w:val="24"/>
          <w:lang w:val="ru-RU"/>
        </w:rPr>
        <w:t xml:space="preserve"> муниципального округа Кировской области</w:t>
      </w:r>
      <w:r>
        <w:rPr>
          <w:b w:val="0"/>
          <w:bCs w:val="0"/>
          <w:sz w:val="24"/>
        </w:rPr>
        <w:t xml:space="preserve"> от 1</w:t>
      </w:r>
      <w:r>
        <w:rPr>
          <w:rFonts w:hint="default"/>
          <w:b w:val="0"/>
          <w:bCs w:val="0"/>
          <w:sz w:val="24"/>
          <w:lang w:val="ru-RU"/>
        </w:rPr>
        <w:t>7</w:t>
      </w:r>
      <w:r>
        <w:rPr>
          <w:b w:val="0"/>
          <w:bCs w:val="0"/>
          <w:sz w:val="24"/>
        </w:rPr>
        <w:t>.01.20</w:t>
      </w:r>
      <w:r>
        <w:rPr>
          <w:rFonts w:hint="default"/>
          <w:b w:val="0"/>
          <w:bCs w:val="0"/>
          <w:sz w:val="24"/>
          <w:lang w:val="ru-RU"/>
        </w:rPr>
        <w:t>22</w:t>
      </w:r>
      <w:r>
        <w:rPr>
          <w:b w:val="0"/>
          <w:bCs w:val="0"/>
          <w:sz w:val="24"/>
        </w:rPr>
        <w:t xml:space="preserve"> г. № </w:t>
      </w:r>
      <w:r>
        <w:rPr>
          <w:rFonts w:hint="default"/>
          <w:b w:val="0"/>
          <w:bCs w:val="0"/>
          <w:sz w:val="24"/>
          <w:lang w:val="ru-RU"/>
        </w:rPr>
        <w:t>16, от 04.03.2022г. № 136, от 16.06.2022 № 362, от 19.07.2022 № 417, от 13.10.2022 № 613, от 07.11.2022 № 686, от 17.11.2022 № 719, от 01.12.2022 № 748, от 23.12.2022 № 818, от 07.02.2023 № 46, от 06.03.2023 № 107, от 25.04.2023 № 222, от 15.06.2023 № 306, от 12.07.2023 № 369, от 04.09.2023 № 485, от 02.11.2023 № 600, от 29.12.2023 № 742, от 29.02.2024 № 87, от 16.05.2024 № 252, от 22.07.2024 №390, от 02.09.2024 № 467, от 11.11.2024 № 640, от 28.12.2024 № 935, от 19.03.2025 № 192, от 10.06.2025 № 415, от 17.07.2025 № 522, от 13.10.2025 № 707,</w:t>
      </w:r>
    </w:p>
    <w:p w14:paraId="2B97A383">
      <w:pPr>
        <w:pStyle w:val="42"/>
        <w:widowControl/>
        <w:ind w:firstLine="709"/>
        <w:contextualSpacing/>
        <w:jc w:val="center"/>
        <w:rPr>
          <w:rFonts w:hint="default"/>
          <w:b w:val="0"/>
          <w:bCs w:val="0"/>
          <w:sz w:val="24"/>
          <w:lang w:val="ru-RU"/>
        </w:rPr>
      </w:pPr>
      <w:r>
        <w:rPr>
          <w:rFonts w:hint="default"/>
          <w:b w:val="0"/>
          <w:bCs w:val="0"/>
          <w:sz w:val="24"/>
          <w:lang w:val="ru-RU"/>
        </w:rPr>
        <w:t>от 18.11.2025 № 815, от 25.12.2025 № 915, от 15.04.2026 № 224)</w:t>
      </w:r>
    </w:p>
    <w:p w14:paraId="050E21D6">
      <w:pPr>
        <w:pStyle w:val="42"/>
        <w:widowControl/>
        <w:ind w:firstLine="709"/>
        <w:contextualSpacing/>
        <w:jc w:val="center"/>
        <w:rPr>
          <w:rFonts w:hint="default"/>
          <w:b w:val="0"/>
          <w:bCs w:val="0"/>
          <w:sz w:val="24"/>
          <w:lang w:val="ru-RU"/>
        </w:rPr>
      </w:pPr>
    </w:p>
    <w:p w14:paraId="1281DB26">
      <w:pPr>
        <w:pStyle w:val="42"/>
        <w:widowControl/>
        <w:ind w:firstLine="709"/>
        <w:contextualSpacing/>
        <w:jc w:val="center"/>
        <w:rPr>
          <w:rFonts w:hint="default"/>
          <w:b w:val="0"/>
          <w:bCs w:val="0"/>
          <w:sz w:val="24"/>
          <w:lang w:val="ru-RU"/>
        </w:rPr>
      </w:pPr>
    </w:p>
    <w:p w14:paraId="30BD941B"/>
    <w:p w14:paraId="72615AC1"/>
    <w:p w14:paraId="7C19C477"/>
    <w:p w14:paraId="5D631CFD"/>
    <w:p w14:paraId="0525C259"/>
    <w:p w14:paraId="0F3D0B0E"/>
    <w:p w14:paraId="70D49DBB"/>
    <w:p w14:paraId="36BD9A4D">
      <w:pPr>
        <w:ind w:firstLine="0"/>
        <w:rPr>
          <w:b/>
          <w:sz w:val="24"/>
        </w:rPr>
      </w:pPr>
    </w:p>
    <w:p w14:paraId="31BF0A1F">
      <w:pPr>
        <w:ind w:firstLine="0"/>
        <w:rPr>
          <w:b/>
          <w:sz w:val="24"/>
        </w:rPr>
      </w:pPr>
    </w:p>
    <w:p w14:paraId="00B05C9E">
      <w:pPr>
        <w:ind w:firstLine="0"/>
        <w:rPr>
          <w:b/>
          <w:sz w:val="24"/>
        </w:rPr>
      </w:pPr>
    </w:p>
    <w:p w14:paraId="3D19FFE7">
      <w:pPr>
        <w:ind w:firstLine="0"/>
        <w:rPr>
          <w:b/>
          <w:sz w:val="24"/>
        </w:rPr>
      </w:pPr>
    </w:p>
    <w:p w14:paraId="6EE44E9D">
      <w:pPr>
        <w:ind w:firstLine="0"/>
        <w:jc w:val="center"/>
        <w:rPr>
          <w:b/>
          <w:szCs w:val="28"/>
        </w:rPr>
      </w:pPr>
      <w:r>
        <w:rPr>
          <w:b/>
          <w:szCs w:val="28"/>
        </w:rPr>
        <w:t>пгт Лебяжье</w:t>
      </w:r>
    </w:p>
    <w:p w14:paraId="3FEABD00">
      <w:pPr>
        <w:jc w:val="center"/>
        <w:rPr>
          <w:b/>
          <w:szCs w:val="28"/>
        </w:rPr>
      </w:pPr>
    </w:p>
    <w:p w14:paraId="21DEEC70">
      <w:pPr>
        <w:jc w:val="center"/>
        <w:rPr>
          <w:b/>
          <w:szCs w:val="28"/>
        </w:rPr>
      </w:pPr>
    </w:p>
    <w:p w14:paraId="5F9212EB">
      <w:pPr>
        <w:jc w:val="center"/>
        <w:rPr>
          <w:b/>
          <w:szCs w:val="28"/>
        </w:rPr>
      </w:pPr>
    </w:p>
    <w:p w14:paraId="261E1634">
      <w:pPr>
        <w:jc w:val="center"/>
        <w:rPr>
          <w:b/>
          <w:szCs w:val="28"/>
        </w:rPr>
      </w:pPr>
    </w:p>
    <w:p w14:paraId="146CEDF4">
      <w:pPr>
        <w:jc w:val="center"/>
        <w:rPr>
          <w:b/>
          <w:szCs w:val="28"/>
        </w:rPr>
      </w:pPr>
      <w:bookmarkStart w:id="1" w:name="_GoBack"/>
      <w:bookmarkEnd w:id="1"/>
      <w:r>
        <w:rPr>
          <w:b/>
          <w:szCs w:val="28"/>
        </w:rPr>
        <w:t>ПАСПОРТ</w:t>
      </w:r>
    </w:p>
    <w:p w14:paraId="6F4CDC67">
      <w:pPr>
        <w:jc w:val="center"/>
        <w:rPr>
          <w:b/>
          <w:szCs w:val="28"/>
        </w:rPr>
      </w:pPr>
      <w:r>
        <w:rPr>
          <w:b/>
          <w:szCs w:val="28"/>
        </w:rPr>
        <w:t>МУНИЦИПАЛЬНОЙ  ПРОГРАММЫ</w:t>
      </w:r>
    </w:p>
    <w:p w14:paraId="530D223F">
      <w:pPr>
        <w:jc w:val="center"/>
        <w:rPr>
          <w:b/>
          <w:szCs w:val="28"/>
        </w:rPr>
      </w:pPr>
      <w:r>
        <w:rPr>
          <w:b/>
          <w:szCs w:val="28"/>
        </w:rPr>
        <w:t>"Развитие культуры  и туризма в Лебяжском муниципальном округе" на 2022 - 202</w:t>
      </w:r>
      <w:r>
        <w:rPr>
          <w:rFonts w:hint="default"/>
          <w:b/>
          <w:szCs w:val="28"/>
          <w:lang w:val="ru-RU"/>
        </w:rPr>
        <w:t>8</w:t>
      </w:r>
      <w:r>
        <w:rPr>
          <w:b/>
          <w:szCs w:val="28"/>
        </w:rPr>
        <w:t>годы</w:t>
      </w:r>
    </w:p>
    <w:p w14:paraId="0DD75E26">
      <w:pPr>
        <w:jc w:val="center"/>
        <w:rPr>
          <w:b/>
          <w:szCs w:val="28"/>
        </w:rPr>
      </w:pPr>
    </w:p>
    <w:tbl>
      <w:tblPr>
        <w:tblStyle w:val="3"/>
        <w:tblW w:w="10178" w:type="dxa"/>
        <w:tblInd w:w="-580" w:type="dxa"/>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Layout w:type="fixed"/>
        <w:tblCellMar>
          <w:top w:w="0" w:type="dxa"/>
          <w:left w:w="10" w:type="dxa"/>
          <w:bottom w:w="0" w:type="dxa"/>
          <w:right w:w="10" w:type="dxa"/>
        </w:tblCellMar>
      </w:tblPr>
      <w:tblGrid>
        <w:gridCol w:w="1918"/>
        <w:gridCol w:w="8260"/>
      </w:tblGrid>
      <w:tr w14:paraId="2240C42B">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top w:val="single" w:color="00000A" w:sz="4" w:space="0"/>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4CFFD0EF">
            <w:pPr>
              <w:ind w:firstLine="0"/>
              <w:jc w:val="left"/>
              <w:rPr>
                <w:rFonts w:eastAsia="SimSun"/>
                <w:szCs w:val="28"/>
              </w:rPr>
            </w:pPr>
            <w:r>
              <w:rPr>
                <w:rFonts w:eastAsia="SimSun"/>
                <w:szCs w:val="28"/>
              </w:rPr>
              <w:t>Ответственный  исполнитель  муниципальной</w:t>
            </w:r>
            <w:r>
              <w:rPr>
                <w:rFonts w:eastAsia="SimSun"/>
                <w:szCs w:val="28"/>
              </w:rPr>
              <w:br w:type="textWrapping"/>
            </w:r>
            <w:r>
              <w:rPr>
                <w:rFonts w:eastAsia="SimSun"/>
                <w:szCs w:val="28"/>
              </w:rPr>
              <w:t>программы</w:t>
            </w:r>
          </w:p>
        </w:tc>
        <w:tc>
          <w:tcPr>
            <w:tcW w:w="8260" w:type="dxa"/>
            <w:tcBorders>
              <w:top w:val="single" w:color="00000A" w:sz="4" w:space="0"/>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1C35FD6D">
            <w:pPr>
              <w:ind w:firstLine="0"/>
              <w:jc w:val="left"/>
              <w:rPr>
                <w:rFonts w:eastAsia="SimSun"/>
                <w:szCs w:val="28"/>
              </w:rPr>
            </w:pPr>
            <w:r>
              <w:rPr>
                <w:szCs w:val="28"/>
              </w:rPr>
              <w:t xml:space="preserve">Муниципальное  казенное учреждение «Управление по культуре, физкультуре и делам молодёжи Лебяжского муниципального округа Кировской области Российской Федерации»            </w:t>
            </w:r>
          </w:p>
        </w:tc>
      </w:tr>
      <w:tr w14:paraId="0C4F8F6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0F7B6737">
            <w:pPr>
              <w:ind w:firstLine="0"/>
              <w:jc w:val="left"/>
              <w:rPr>
                <w:rFonts w:eastAsia="SimSun"/>
                <w:szCs w:val="28"/>
              </w:rPr>
            </w:pPr>
            <w:r>
              <w:rPr>
                <w:rFonts w:eastAsia="SimSun"/>
                <w:szCs w:val="28"/>
              </w:rPr>
              <w:t>Соисполнители муниципальной программы</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378C7BB9">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Лебяжская «</w:t>
            </w:r>
            <w:r>
              <w:rPr>
                <w:rFonts w:hint="default" w:ascii="Times New Roman" w:hAnsi="Times New Roman" w:cs="Times New Roman"/>
                <w:sz w:val="28"/>
                <w:szCs w:val="28"/>
              </w:rPr>
              <w:t>Централизованная клубная система»;</w:t>
            </w:r>
          </w:p>
          <w:p w14:paraId="6C77847A">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w:t>
            </w:r>
            <w:r>
              <w:rPr>
                <w:rFonts w:hint="default" w:ascii="Times New Roman" w:hAnsi="Times New Roman" w:cs="Times New Roman"/>
                <w:sz w:val="28"/>
                <w:szCs w:val="28"/>
              </w:rPr>
              <w:t>Лебяжская централизованная библиотечная система»;</w:t>
            </w:r>
          </w:p>
          <w:p w14:paraId="200BA442">
            <w:pPr>
              <w:pStyle w:val="45"/>
              <w:widowControl/>
              <w:contextualSpacing/>
              <w:rPr>
                <w:rFonts w:hint="default" w:ascii="Times New Roman" w:hAnsi="Times New Roman" w:cs="Times New Roman"/>
                <w:sz w:val="28"/>
                <w:szCs w:val="28"/>
              </w:rPr>
            </w:pPr>
            <w:r>
              <w:rPr>
                <w:rFonts w:hint="default" w:ascii="Times New Roman" w:hAnsi="Times New Roman" w:cs="Times New Roman"/>
                <w:sz w:val="28"/>
                <w:szCs w:val="28"/>
              </w:rPr>
              <w:t>Муниципальное бюджетное учреждение дополнительного образования «Лебяжская детская школа искусств»;</w:t>
            </w:r>
          </w:p>
          <w:p w14:paraId="00BDB0C3">
            <w:pPr>
              <w:ind w:firstLine="0"/>
              <w:jc w:val="left"/>
              <w:rPr>
                <w:rFonts w:eastAsia="SimSun"/>
                <w:szCs w:val="28"/>
              </w:rPr>
            </w:pPr>
            <w:r>
              <w:rPr>
                <w:rFonts w:hint="default" w:ascii="Times New Roman" w:hAnsi="Times New Roman" w:cs="Times New Roman"/>
                <w:sz w:val="28"/>
                <w:szCs w:val="28"/>
              </w:rPr>
              <w:t xml:space="preserve">Муниципальное </w:t>
            </w:r>
            <w:r>
              <w:rPr>
                <w:rFonts w:hint="default" w:ascii="Times New Roman" w:hAnsi="Times New Roman" w:cs="Times New Roman"/>
                <w:sz w:val="28"/>
                <w:szCs w:val="28"/>
                <w:lang w:val="ru-RU"/>
              </w:rPr>
              <w:t>бюджетное</w:t>
            </w:r>
            <w:r>
              <w:rPr>
                <w:rFonts w:hint="default" w:ascii="Times New Roman" w:hAnsi="Times New Roman" w:cs="Times New Roman"/>
                <w:sz w:val="28"/>
                <w:szCs w:val="28"/>
              </w:rPr>
              <w:t xml:space="preserve"> учреждение </w:t>
            </w:r>
            <w:r>
              <w:rPr>
                <w:rFonts w:hint="default" w:ascii="Times New Roman" w:hAnsi="Times New Roman" w:cs="Times New Roman"/>
                <w:sz w:val="28"/>
                <w:szCs w:val="28"/>
                <w:lang w:val="ru-RU"/>
              </w:rPr>
              <w:t>«</w:t>
            </w:r>
            <w:r>
              <w:rPr>
                <w:rFonts w:hint="default" w:ascii="Times New Roman" w:hAnsi="Times New Roman" w:cs="Times New Roman"/>
                <w:sz w:val="28"/>
                <w:szCs w:val="28"/>
              </w:rPr>
              <w:t>Лебяжский краеведческий музей</w:t>
            </w:r>
            <w:r>
              <w:rPr>
                <w:rFonts w:hint="default" w:ascii="Times New Roman" w:hAnsi="Times New Roman" w:cs="Times New Roman"/>
                <w:szCs w:val="28"/>
                <w:lang w:val="ru-RU"/>
              </w:rPr>
              <w:t>»</w:t>
            </w:r>
          </w:p>
        </w:tc>
      </w:tr>
      <w:tr w14:paraId="11A1C2D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72A265D6">
            <w:pPr>
              <w:ind w:firstLine="0"/>
              <w:jc w:val="left"/>
              <w:rPr>
                <w:rFonts w:eastAsia="SimSun"/>
                <w:szCs w:val="28"/>
              </w:rPr>
            </w:pPr>
            <w:r>
              <w:rPr>
                <w:rFonts w:eastAsia="SimSun"/>
                <w:szCs w:val="28"/>
              </w:rPr>
              <w:t xml:space="preserve">Наименование подпрограмм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5AA756B3">
            <w:pPr>
              <w:ind w:firstLine="0"/>
              <w:jc w:val="left"/>
              <w:rPr>
                <w:rFonts w:eastAsia="SimSun"/>
                <w:szCs w:val="28"/>
              </w:rPr>
            </w:pPr>
            <w:r>
              <w:rPr>
                <w:rFonts w:eastAsia="SimSun"/>
                <w:szCs w:val="28"/>
              </w:rPr>
              <w:t>отсутствуют</w:t>
            </w:r>
          </w:p>
        </w:tc>
      </w:tr>
      <w:tr w14:paraId="2AEF921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1FFC9820">
            <w:pPr>
              <w:ind w:firstLine="0"/>
              <w:jc w:val="left"/>
              <w:rPr>
                <w:rFonts w:eastAsia="SimSun"/>
                <w:szCs w:val="28"/>
              </w:rPr>
            </w:pPr>
            <w:r>
              <w:rPr>
                <w:rFonts w:eastAsia="SimSun"/>
                <w:szCs w:val="28"/>
              </w:rPr>
              <w:t xml:space="preserve">Цель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5D2941EA">
            <w:pPr>
              <w:ind w:firstLine="0"/>
              <w:jc w:val="left"/>
              <w:rPr>
                <w:rFonts w:eastAsia="SimSun"/>
                <w:szCs w:val="28"/>
              </w:rPr>
            </w:pPr>
            <w:r>
              <w:rPr>
                <w:rFonts w:eastAsia="SimSun"/>
                <w:szCs w:val="28"/>
              </w:rPr>
              <w:t>Создание социально-экономических условий для развития культуры и туризма на территории Лебяжского муниципального округа.</w:t>
            </w:r>
          </w:p>
        </w:tc>
      </w:tr>
      <w:tr w14:paraId="369E09E3">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385F844F">
            <w:pPr>
              <w:ind w:firstLine="0"/>
              <w:jc w:val="left"/>
              <w:rPr>
                <w:rFonts w:eastAsia="SimSun"/>
                <w:szCs w:val="28"/>
              </w:rPr>
            </w:pPr>
            <w:r>
              <w:rPr>
                <w:rFonts w:eastAsia="SimSun"/>
                <w:szCs w:val="28"/>
              </w:rPr>
              <w:t xml:space="preserve">Задачи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tcPr>
          <w:p w14:paraId="646E2F18">
            <w:pPr>
              <w:ind w:firstLine="0"/>
              <w:jc w:val="left"/>
              <w:rPr>
                <w:szCs w:val="28"/>
              </w:rPr>
            </w:pPr>
            <w:r>
              <w:rPr>
                <w:szCs w:val="28"/>
              </w:rPr>
              <w:t>Развитие библиотечного дела и организация библиотечного обслуживания населения;</w:t>
            </w:r>
          </w:p>
          <w:p w14:paraId="64189FCD">
            <w:pPr>
              <w:ind w:firstLine="0"/>
              <w:jc w:val="left"/>
              <w:rPr>
                <w:szCs w:val="28"/>
              </w:rPr>
            </w:pPr>
            <w:r>
              <w:rPr>
                <w:szCs w:val="28"/>
              </w:rPr>
              <w:t>Организация и поддержка деятельности музея и обеспечение сохранности музейного фонда;</w:t>
            </w:r>
          </w:p>
          <w:p w14:paraId="00DE3492">
            <w:pPr>
              <w:ind w:firstLine="0"/>
              <w:jc w:val="left"/>
              <w:rPr>
                <w:szCs w:val="28"/>
              </w:rPr>
            </w:pPr>
            <w:r>
              <w:rPr>
                <w:szCs w:val="28"/>
              </w:rPr>
              <w:t>Обеспечение условий для совершенствования качества и доступности оказания услуг в области дополнительного образования детей в сфере культуры;</w:t>
            </w:r>
          </w:p>
          <w:p w14:paraId="27E236D9">
            <w:pPr>
              <w:ind w:firstLine="0"/>
              <w:jc w:val="left"/>
              <w:rPr>
                <w:szCs w:val="28"/>
              </w:rPr>
            </w:pPr>
            <w:r>
              <w:rPr>
                <w:szCs w:val="28"/>
              </w:rPr>
              <w:t>Стимулирование развития культурно</w:t>
            </w:r>
            <w:r>
              <w:rPr>
                <w:rFonts w:hint="default"/>
                <w:szCs w:val="28"/>
                <w:lang w:val="ru-RU"/>
              </w:rPr>
              <w:t xml:space="preserve"> </w:t>
            </w:r>
            <w:r>
              <w:rPr>
                <w:szCs w:val="28"/>
              </w:rPr>
              <w:t>-</w:t>
            </w:r>
            <w:r>
              <w:rPr>
                <w:rFonts w:hint="default"/>
                <w:szCs w:val="28"/>
                <w:lang w:val="ru-RU"/>
              </w:rPr>
              <w:t xml:space="preserve"> </w:t>
            </w:r>
            <w:r>
              <w:rPr>
                <w:szCs w:val="28"/>
              </w:rPr>
              <w:t>досуговой деятельности и народного творчества на территории Лебяжского муниципального округа;</w:t>
            </w:r>
          </w:p>
          <w:p w14:paraId="518EC4D3">
            <w:pPr>
              <w:ind w:firstLine="0"/>
              <w:jc w:val="left"/>
              <w:rPr>
                <w:szCs w:val="28"/>
              </w:rPr>
            </w:pPr>
            <w:r>
              <w:rPr>
                <w:szCs w:val="28"/>
              </w:rPr>
              <w:t>Повышение качества и доступности услуг в сфере внутреннего и въездного туризма;</w:t>
            </w:r>
          </w:p>
          <w:p w14:paraId="47B1CFCA">
            <w:pPr>
              <w:ind w:firstLine="0"/>
              <w:jc w:val="left"/>
              <w:rPr>
                <w:szCs w:val="28"/>
              </w:rPr>
            </w:pPr>
            <w:r>
              <w:rPr>
                <w:szCs w:val="28"/>
              </w:rPr>
              <w:t>Осуществление финансового обеспечения деятельности учреждений культуры Лебяжского муниципального округа;</w:t>
            </w:r>
          </w:p>
          <w:p w14:paraId="37E1ADF0">
            <w:pPr>
              <w:ind w:firstLine="0"/>
              <w:jc w:val="left"/>
              <w:rPr>
                <w:szCs w:val="28"/>
              </w:rPr>
            </w:pPr>
            <w:r>
              <w:rPr>
                <w:szCs w:val="28"/>
              </w:rPr>
              <w:t>Реализация основных направлений муниципальной политики в сфере культуры на территории Лебяжского муниципального округа;</w:t>
            </w:r>
          </w:p>
          <w:p w14:paraId="30EF7D2D">
            <w:pPr>
              <w:ind w:firstLine="0"/>
              <w:jc w:val="left"/>
              <w:rPr>
                <w:szCs w:val="28"/>
              </w:rPr>
            </w:pPr>
            <w:r>
              <w:rPr>
                <w:szCs w:val="28"/>
              </w:rPr>
              <w:t>Обновление   специального   оборудования учреждений культуры Лебяжского муниципального округа;</w:t>
            </w:r>
          </w:p>
          <w:p w14:paraId="76E0604E">
            <w:pPr>
              <w:ind w:firstLine="0"/>
              <w:jc w:val="left"/>
              <w:rPr>
                <w:szCs w:val="28"/>
              </w:rPr>
            </w:pPr>
            <w:r>
              <w:rPr>
                <w:szCs w:val="28"/>
              </w:rPr>
              <w:t>Капитальный и текущий ремонт учреждений культуры.</w:t>
            </w:r>
          </w:p>
        </w:tc>
      </w:tr>
      <w:tr w14:paraId="5696A128">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F5E31EE">
            <w:pPr>
              <w:ind w:firstLine="0" w:firstLineChars="0"/>
              <w:jc w:val="left"/>
              <w:rPr>
                <w:rFonts w:eastAsia="SimSun"/>
                <w:sz w:val="28"/>
                <w:szCs w:val="28"/>
              </w:rPr>
            </w:pPr>
            <w:r>
              <w:rPr>
                <w:rFonts w:eastAsia="SimSun"/>
                <w:sz w:val="28"/>
                <w:szCs w:val="28"/>
              </w:rPr>
              <w:t xml:space="preserve">Целевые показатели эффективности реализации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52E67A8E">
            <w:pPr>
              <w:ind w:firstLine="0"/>
              <w:jc w:val="left"/>
              <w:rPr>
                <w:rFonts w:eastAsia="SimSun"/>
                <w:sz w:val="28"/>
                <w:szCs w:val="28"/>
              </w:rPr>
            </w:pPr>
            <w:r>
              <w:rPr>
                <w:rFonts w:eastAsia="SimSun"/>
                <w:sz w:val="28"/>
                <w:szCs w:val="28"/>
              </w:rPr>
              <w:t>Увеличение количества посещений организаций культуры по отношению к уровню 2020 г.;</w:t>
            </w:r>
          </w:p>
          <w:p w14:paraId="64FD108F">
            <w:pPr>
              <w:ind w:firstLine="0"/>
              <w:jc w:val="left"/>
              <w:rPr>
                <w:rFonts w:eastAsia="SimSun"/>
                <w:sz w:val="28"/>
                <w:szCs w:val="28"/>
              </w:rPr>
            </w:pPr>
            <w:r>
              <w:rPr>
                <w:rFonts w:eastAsia="SimSun"/>
                <w:sz w:val="28"/>
                <w:szCs w:val="28"/>
              </w:rPr>
              <w:t>Рост посещений библиотек на 1 жителя в год;</w:t>
            </w:r>
          </w:p>
          <w:p w14:paraId="2719C846">
            <w:pPr>
              <w:ind w:firstLine="0"/>
              <w:jc w:val="left"/>
              <w:rPr>
                <w:rFonts w:eastAsia="SimSun"/>
                <w:sz w:val="28"/>
                <w:szCs w:val="28"/>
              </w:rPr>
            </w:pPr>
            <w:r>
              <w:rPr>
                <w:rFonts w:eastAsia="SimSun"/>
                <w:sz w:val="28"/>
                <w:szCs w:val="28"/>
              </w:rPr>
              <w:t>Темп роста численности участников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массовых мероприятий, проводимых учреждениями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досугового типа к предыдущему году;</w:t>
            </w:r>
          </w:p>
          <w:p w14:paraId="492E3A88">
            <w:pPr>
              <w:ind w:firstLine="0"/>
              <w:jc w:val="left"/>
              <w:rPr>
                <w:rFonts w:eastAsia="SimSun"/>
                <w:sz w:val="28"/>
                <w:szCs w:val="28"/>
              </w:rPr>
            </w:pPr>
            <w:r>
              <w:rPr>
                <w:rFonts w:eastAsia="SimSun"/>
                <w:sz w:val="28"/>
                <w:szCs w:val="28"/>
              </w:rPr>
              <w:t>Посещаемость музея (на 1000 человек);</w:t>
            </w:r>
          </w:p>
          <w:p w14:paraId="58E85910">
            <w:pPr>
              <w:ind w:firstLine="0"/>
              <w:jc w:val="left"/>
              <w:rPr>
                <w:rFonts w:eastAsia="SimSun"/>
                <w:sz w:val="28"/>
                <w:szCs w:val="28"/>
              </w:rPr>
            </w:pPr>
            <w:r>
              <w:rPr>
                <w:rFonts w:eastAsia="SimSun"/>
                <w:sz w:val="28"/>
                <w:szCs w:val="28"/>
              </w:rPr>
              <w:t>Количество учащихся детской школы искусств;</w:t>
            </w:r>
          </w:p>
          <w:p w14:paraId="77AD784F">
            <w:pPr>
              <w:ind w:firstLine="0"/>
              <w:jc w:val="left"/>
              <w:rPr>
                <w:rFonts w:eastAsia="SimSun"/>
                <w:sz w:val="28"/>
                <w:szCs w:val="28"/>
              </w:rPr>
            </w:pPr>
            <w:r>
              <w:rPr>
                <w:rFonts w:eastAsia="SimSun"/>
                <w:sz w:val="28"/>
                <w:szCs w:val="28"/>
              </w:rPr>
              <w:t>Рост численности туристов к предыдущему году;</w:t>
            </w:r>
          </w:p>
          <w:p w14:paraId="4943EDF2">
            <w:pPr>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34016413">
            <w:pPr>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w:t>
            </w:r>
          </w:p>
          <w:p w14:paraId="717EA644">
            <w:pPr>
              <w:ind w:firstLine="0" w:firstLineChars="0"/>
              <w:jc w:val="left"/>
              <w:rPr>
                <w:rFonts w:eastAsia="SimSun"/>
                <w:sz w:val="28"/>
                <w:szCs w:val="28"/>
              </w:rPr>
            </w:pPr>
            <w:r>
              <w:rPr>
                <w:rFonts w:hint="default" w:ascii="Times New Roman" w:hAnsi="Times New Roman" w:cs="Times New Roman"/>
                <w:color w:val="000000"/>
                <w:kern w:val="0"/>
                <w:sz w:val="28"/>
                <w:szCs w:val="28"/>
                <w:lang w:val="ru-RU" w:eastAsia="zh-CN" w:bidi="ar"/>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14:paraId="636A6CC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2ECC8D5A">
            <w:pPr>
              <w:spacing w:line="276" w:lineRule="auto"/>
              <w:ind w:left="0" w:leftChars="0" w:firstLine="0" w:firstLineChars="0"/>
              <w:jc w:val="both"/>
              <w:rPr>
                <w:rFonts w:eastAsia="SimSun"/>
                <w:szCs w:val="28"/>
              </w:rPr>
            </w:pPr>
            <w:r>
              <w:rPr>
                <w:rFonts w:ascii="Times New Roman" w:hAnsi="Times New Roman" w:cs="Times New Roman"/>
                <w:sz w:val="28"/>
                <w:szCs w:val="28"/>
              </w:rPr>
              <w:t xml:space="preserve">Этапы и сроки реализации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1868ED97">
            <w:pPr>
              <w:spacing w:after="45" w:line="276" w:lineRule="auto"/>
              <w:ind w:left="0" w:leftChars="0" w:firstLine="0" w:firstLineChars="0"/>
              <w:rPr>
                <w:rFonts w:ascii="Times New Roman" w:hAnsi="Times New Roman" w:cs="Times New Roman"/>
                <w:sz w:val="28"/>
                <w:szCs w:val="28"/>
              </w:rPr>
            </w:pPr>
          </w:p>
          <w:p w14:paraId="1AEBCAFA">
            <w:pPr>
              <w:spacing w:after="45" w:line="276" w:lineRule="auto"/>
              <w:ind w:left="0" w:leftChars="0" w:firstLine="0" w:firstLineChars="0"/>
              <w:rPr>
                <w:rFonts w:ascii="Times New Roman" w:hAnsi="Times New Roman" w:cs="Times New Roman"/>
                <w:kern w:val="2"/>
                <w:sz w:val="28"/>
                <w:szCs w:val="28"/>
              </w:rPr>
            </w:pPr>
            <w:r>
              <w:rPr>
                <w:rFonts w:ascii="Times New Roman" w:hAnsi="Times New Roman" w:cs="Times New Roman"/>
                <w:sz w:val="28"/>
                <w:szCs w:val="28"/>
              </w:rPr>
              <w:t>2022-202</w:t>
            </w:r>
            <w:r>
              <w:rPr>
                <w:rFonts w:hint="default" w:cs="Times New Roman"/>
                <w:sz w:val="28"/>
                <w:szCs w:val="28"/>
                <w:lang w:val="ru-RU"/>
              </w:rPr>
              <w:t>8</w:t>
            </w:r>
            <w:r>
              <w:rPr>
                <w:rFonts w:ascii="Times New Roman" w:hAnsi="Times New Roman" w:cs="Times New Roman"/>
                <w:sz w:val="28"/>
                <w:szCs w:val="28"/>
              </w:rPr>
              <w:t xml:space="preserve"> годы</w:t>
            </w:r>
          </w:p>
          <w:p w14:paraId="0E4D389C">
            <w:pPr>
              <w:spacing w:line="276" w:lineRule="auto"/>
              <w:ind w:left="0" w:leftChars="0" w:firstLine="0" w:firstLineChars="0"/>
              <w:rPr>
                <w:rFonts w:eastAsia="SimSun"/>
                <w:szCs w:val="28"/>
              </w:rPr>
            </w:pPr>
            <w:r>
              <w:rPr>
                <w:rFonts w:ascii="Times New Roman" w:hAnsi="Times New Roman" w:cs="Times New Roman"/>
                <w:sz w:val="28"/>
                <w:szCs w:val="28"/>
              </w:rPr>
              <w:t>выделение этапов не предусмотрено</w:t>
            </w:r>
          </w:p>
        </w:tc>
      </w:tr>
      <w:tr w14:paraId="3B6F126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3681"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B39ABF9">
            <w:pPr>
              <w:ind w:left="0" w:leftChars="0" w:firstLine="0" w:firstLineChars="0"/>
              <w:rPr>
                <w:rFonts w:eastAsia="SimSun"/>
                <w:szCs w:val="28"/>
              </w:rPr>
            </w:pPr>
            <w:r>
              <w:rPr>
                <w:sz w:val="28"/>
                <w:szCs w:val="28"/>
              </w:rPr>
              <w:t xml:space="preserve">Объёмы   ассигнований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505A3840">
            <w:pPr>
              <w:autoSpaceDE w:val="0"/>
              <w:snapToGrid w:val="0"/>
              <w:ind w:left="280" w:leftChars="100" w:firstLine="0" w:firstLineChars="0"/>
              <w:rPr>
                <w:rFonts w:hint="default" w:ascii="Times New Roman" w:hAnsi="Times New Roman" w:eastAsia="Arial" w:cs="Times New Roman"/>
                <w:sz w:val="26"/>
                <w:szCs w:val="26"/>
                <w:highlight w:val="none"/>
                <w:lang w:eastAsia="ar-SA"/>
              </w:rPr>
            </w:pPr>
            <w:r>
              <w:rPr>
                <w:rFonts w:hint="default" w:ascii="Times New Roman" w:hAnsi="Times New Roman" w:eastAsia="Arial" w:cs="Times New Roman"/>
                <w:sz w:val="26"/>
                <w:szCs w:val="26"/>
                <w:highlight w:val="none"/>
                <w:lang w:eastAsia="ar-SA"/>
              </w:rPr>
              <w:t xml:space="preserve">Общий объем ассигнований муниципальной программы составит  – </w:t>
            </w:r>
            <w:r>
              <w:rPr>
                <w:rFonts w:hint="default" w:ascii="Times New Roman" w:hAnsi="Times New Roman" w:eastAsia="Arial" w:cs="Times New Roman"/>
                <w:sz w:val="26"/>
                <w:szCs w:val="26"/>
                <w:highlight w:val="none"/>
                <w:lang w:val="ru-RU" w:eastAsia="ar-SA"/>
              </w:rPr>
              <w:t>340 250 977,18</w:t>
            </w:r>
            <w:r>
              <w:rPr>
                <w:rFonts w:hint="default" w:ascii="Times New Roman" w:hAnsi="Times New Roman" w:cs="Times New Roman"/>
                <w:bCs/>
                <w:color w:val="000000"/>
                <w:sz w:val="26"/>
                <w:szCs w:val="26"/>
                <w:highlight w:val="none"/>
                <w:lang w:val="ru-RU"/>
              </w:rPr>
              <w:t xml:space="preserve"> </w:t>
            </w:r>
            <w:r>
              <w:rPr>
                <w:rFonts w:hint="default" w:ascii="Times New Roman" w:hAnsi="Times New Roman" w:eastAsia="Arial" w:cs="Times New Roman"/>
                <w:sz w:val="26"/>
                <w:szCs w:val="26"/>
                <w:highlight w:val="none"/>
                <w:lang w:eastAsia="ar-SA"/>
              </w:rPr>
              <w:t xml:space="preserve">руб.,       </w:t>
            </w:r>
          </w:p>
          <w:p w14:paraId="36F4E96A">
            <w:pPr>
              <w:tabs>
                <w:tab w:val="left" w:pos="7920"/>
              </w:tabs>
              <w:autoSpaceDE w:val="0"/>
              <w:ind w:left="280" w:leftChars="100" w:firstLine="0" w:firstLineChars="0"/>
              <w:rPr>
                <w:rFonts w:hint="default" w:ascii="Times New Roman" w:hAnsi="Times New Roman" w:eastAsia="Arial" w:cs="Times New Roman"/>
                <w:sz w:val="26"/>
                <w:szCs w:val="26"/>
                <w:highlight w:val="none"/>
                <w:lang w:eastAsia="ar-SA"/>
              </w:rPr>
            </w:pPr>
            <w:r>
              <w:rPr>
                <w:rFonts w:hint="default" w:ascii="Times New Roman" w:hAnsi="Times New Roman" w:eastAsia="Arial" w:cs="Times New Roman"/>
                <w:sz w:val="26"/>
                <w:szCs w:val="26"/>
                <w:highlight w:val="none"/>
                <w:lang w:eastAsia="ar-SA"/>
              </w:rPr>
              <w:t xml:space="preserve">в том числе:  </w:t>
            </w:r>
          </w:p>
          <w:p w14:paraId="00A4AE54">
            <w:pPr>
              <w:autoSpaceDE w:val="0"/>
              <w:ind w:left="280" w:leftChars="100" w:firstLine="0" w:firstLineChars="0"/>
              <w:rPr>
                <w:rFonts w:hint="default" w:ascii="Times New Roman" w:hAnsi="Times New Roman" w:eastAsia="Arial" w:cs="Times New Roman"/>
                <w:sz w:val="26"/>
                <w:szCs w:val="26"/>
                <w:highlight w:val="none"/>
                <w:lang w:eastAsia="ar-SA"/>
              </w:rPr>
            </w:pPr>
            <w:r>
              <w:rPr>
                <w:rFonts w:hint="default" w:ascii="Times New Roman" w:hAnsi="Times New Roman" w:eastAsia="Arial" w:cs="Times New Roman"/>
                <w:sz w:val="26"/>
                <w:szCs w:val="26"/>
                <w:highlight w:val="none"/>
                <w:lang w:eastAsia="ar-SA"/>
              </w:rPr>
              <w:t xml:space="preserve">за счёт федерального  бюджета –  </w:t>
            </w:r>
            <w:r>
              <w:rPr>
                <w:rFonts w:hint="default" w:ascii="Times New Roman" w:hAnsi="Times New Roman" w:eastAsia="Arial" w:cs="Times New Roman"/>
                <w:sz w:val="26"/>
                <w:szCs w:val="26"/>
                <w:highlight w:val="none"/>
                <w:lang w:val="ru-RU" w:eastAsia="ar-SA"/>
              </w:rPr>
              <w:t xml:space="preserve">699 558,06 </w:t>
            </w:r>
            <w:r>
              <w:rPr>
                <w:rFonts w:hint="default" w:ascii="Times New Roman" w:hAnsi="Times New Roman" w:eastAsia="Arial" w:cs="Times New Roman"/>
                <w:sz w:val="26"/>
                <w:szCs w:val="26"/>
                <w:highlight w:val="none"/>
                <w:lang w:eastAsia="ar-SA"/>
              </w:rPr>
              <w:t xml:space="preserve">руб.;                                      </w:t>
            </w:r>
          </w:p>
          <w:p w14:paraId="4A438B88">
            <w:pPr>
              <w:autoSpaceDE w:val="0"/>
              <w:ind w:left="280" w:leftChars="100" w:firstLine="0" w:firstLineChars="0"/>
              <w:rPr>
                <w:rFonts w:hint="default" w:ascii="Times New Roman" w:hAnsi="Times New Roman" w:eastAsia="Arial" w:cs="Times New Roman"/>
                <w:sz w:val="26"/>
                <w:szCs w:val="26"/>
                <w:highlight w:val="none"/>
                <w:lang w:eastAsia="ar-SA"/>
              </w:rPr>
            </w:pPr>
            <w:r>
              <w:rPr>
                <w:rFonts w:hint="default" w:ascii="Times New Roman" w:hAnsi="Times New Roman" w:eastAsia="Arial" w:cs="Times New Roman"/>
                <w:sz w:val="26"/>
                <w:szCs w:val="26"/>
                <w:highlight w:val="none"/>
                <w:lang w:eastAsia="ar-SA"/>
              </w:rPr>
              <w:t xml:space="preserve">за счёт средств областного бюджета –  </w:t>
            </w:r>
            <w:r>
              <w:rPr>
                <w:rFonts w:hint="default" w:ascii="Times New Roman" w:hAnsi="Times New Roman" w:eastAsia="Arial" w:cs="Times New Roman"/>
                <w:sz w:val="26"/>
                <w:szCs w:val="26"/>
                <w:highlight w:val="none"/>
                <w:lang w:val="ru-RU" w:eastAsia="ar-SA"/>
              </w:rPr>
              <w:t>169 163 813,</w:t>
            </w:r>
            <w:r>
              <w:rPr>
                <w:rFonts w:hint="default" w:ascii="Times New Roman" w:hAnsi="Times New Roman" w:cs="Times New Roman"/>
                <w:color w:val="000000"/>
                <w:sz w:val="26"/>
                <w:szCs w:val="26"/>
                <w:highlight w:val="none"/>
                <w:lang w:val="ru-RU"/>
              </w:rPr>
              <w:t>75</w:t>
            </w:r>
            <w:r>
              <w:rPr>
                <w:rFonts w:hint="default" w:ascii="Times New Roman" w:hAnsi="Times New Roman" w:cs="Times New Roman"/>
                <w:color w:val="000000"/>
                <w:sz w:val="26"/>
                <w:szCs w:val="26"/>
                <w:highlight w:val="none"/>
              </w:rPr>
              <w:t xml:space="preserve"> </w:t>
            </w:r>
            <w:r>
              <w:rPr>
                <w:rFonts w:hint="default" w:ascii="Times New Roman" w:hAnsi="Times New Roman" w:eastAsia="Arial" w:cs="Times New Roman"/>
                <w:sz w:val="26"/>
                <w:szCs w:val="26"/>
                <w:highlight w:val="none"/>
                <w:lang w:eastAsia="ar-SA"/>
              </w:rPr>
              <w:t xml:space="preserve">руб.;             </w:t>
            </w:r>
          </w:p>
          <w:p w14:paraId="400C098B">
            <w:pPr>
              <w:autoSpaceDE w:val="0"/>
              <w:ind w:left="280" w:leftChars="100" w:firstLine="0" w:firstLineChars="0"/>
              <w:rPr>
                <w:rFonts w:hint="default" w:ascii="Times New Roman" w:hAnsi="Times New Roman" w:eastAsia="Arial" w:cs="Times New Roman"/>
                <w:sz w:val="26"/>
                <w:szCs w:val="26"/>
                <w:highlight w:val="none"/>
                <w:lang w:eastAsia="ar-SA"/>
              </w:rPr>
            </w:pPr>
            <w:r>
              <w:rPr>
                <w:rFonts w:hint="default" w:ascii="Times New Roman" w:hAnsi="Times New Roman" w:eastAsia="Arial" w:cs="Times New Roman"/>
                <w:sz w:val="26"/>
                <w:szCs w:val="26"/>
                <w:highlight w:val="none"/>
                <w:lang w:eastAsia="ar-SA"/>
              </w:rPr>
              <w:t>За</w:t>
            </w:r>
            <w:r>
              <w:rPr>
                <w:rFonts w:hint="default" w:ascii="Times New Roman" w:hAnsi="Times New Roman" w:eastAsia="Arial" w:cs="Times New Roman"/>
                <w:sz w:val="26"/>
                <w:szCs w:val="26"/>
                <w:highlight w:val="none"/>
                <w:lang w:val="ru-RU" w:eastAsia="ar-SA"/>
              </w:rPr>
              <w:t xml:space="preserve"> </w:t>
            </w:r>
            <w:r>
              <w:rPr>
                <w:rFonts w:hint="default" w:ascii="Times New Roman" w:hAnsi="Times New Roman" w:eastAsia="Arial" w:cs="Times New Roman"/>
                <w:sz w:val="26"/>
                <w:szCs w:val="26"/>
                <w:highlight w:val="none"/>
                <w:lang w:eastAsia="ar-SA"/>
              </w:rPr>
              <w:t>счёт местного бюджета –</w:t>
            </w:r>
            <w:r>
              <w:rPr>
                <w:rFonts w:hint="default" w:ascii="Times New Roman" w:hAnsi="Times New Roman" w:eastAsia="Arial" w:cs="Times New Roman"/>
                <w:sz w:val="26"/>
                <w:szCs w:val="26"/>
                <w:highlight w:val="none"/>
                <w:lang w:val="ru-RU" w:eastAsia="ar-SA"/>
              </w:rPr>
              <w:t xml:space="preserve">170 187 605,37 </w:t>
            </w:r>
            <w:r>
              <w:rPr>
                <w:rFonts w:hint="default" w:ascii="Times New Roman" w:hAnsi="Times New Roman" w:eastAsia="Arial" w:cs="Times New Roman"/>
                <w:sz w:val="26"/>
                <w:szCs w:val="26"/>
                <w:highlight w:val="none"/>
                <w:lang w:eastAsia="ar-SA"/>
              </w:rPr>
              <w:t>руб.</w:t>
            </w:r>
          </w:p>
          <w:tbl>
            <w:tblPr>
              <w:tblStyle w:val="3"/>
              <w:tblW w:w="8275"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948"/>
              <w:gridCol w:w="852"/>
              <w:gridCol w:w="879"/>
              <w:gridCol w:w="900"/>
              <w:gridCol w:w="897"/>
              <w:gridCol w:w="855"/>
              <w:gridCol w:w="852"/>
              <w:gridCol w:w="996"/>
            </w:tblGrid>
            <w:tr w14:paraId="1284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000000" w:sz="2" w:space="0"/>
                    <w:left w:val="single" w:color="000000" w:sz="2" w:space="0"/>
                    <w:bottom w:val="single" w:color="000000" w:sz="2" w:space="0"/>
                    <w:right w:val="single" w:color="auto" w:sz="4" w:space="0"/>
                  </w:tcBorders>
                  <w:noWrap w:val="0"/>
                  <w:vAlign w:val="center"/>
                </w:tcPr>
                <w:p w14:paraId="04E77B96">
                  <w:pPr>
                    <w:ind w:left="0" w:leftChars="0" w:firstLine="0" w:firstLineChars="0"/>
                    <w:jc w:val="center"/>
                    <w:rPr>
                      <w:rFonts w:hint="default" w:ascii="Times New Roman" w:hAnsi="Times New Roman" w:cs="Times New Roman"/>
                      <w:i w:val="0"/>
                      <w:iCs w:val="0"/>
                      <w:color w:val="000000"/>
                      <w:sz w:val="12"/>
                      <w:szCs w:val="12"/>
                      <w:u w:val="none"/>
                      <w:lang w:val="ru-RU"/>
                    </w:rPr>
                  </w:pPr>
                  <w:r>
                    <w:rPr>
                      <w:rFonts w:hint="default" w:ascii="Times New Roman" w:hAnsi="Times New Roman" w:cs="Times New Roman"/>
                      <w:i w:val="0"/>
                      <w:iCs w:val="0"/>
                      <w:color w:val="000000"/>
                      <w:sz w:val="12"/>
                      <w:szCs w:val="12"/>
                      <w:u w:val="none"/>
                      <w:lang w:val="ru-RU"/>
                    </w:rPr>
                    <w:t>Источник финансирования</w:t>
                  </w:r>
                </w:p>
              </w:tc>
              <w:tc>
                <w:tcPr>
                  <w:tcW w:w="948" w:type="dxa"/>
                  <w:tcBorders>
                    <w:top w:val="single" w:color="auto" w:sz="4" w:space="0"/>
                    <w:left w:val="single" w:color="auto" w:sz="4" w:space="0"/>
                    <w:bottom w:val="single" w:color="000000" w:sz="2" w:space="0"/>
                    <w:right w:val="single" w:color="auto" w:sz="4" w:space="0"/>
                  </w:tcBorders>
                  <w:noWrap w:val="0"/>
                  <w:vAlign w:val="center"/>
                </w:tcPr>
                <w:p w14:paraId="6B8E582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 xml:space="preserve">2022 </w:t>
                  </w:r>
                </w:p>
              </w:tc>
              <w:tc>
                <w:tcPr>
                  <w:tcW w:w="852" w:type="dxa"/>
                  <w:tcBorders>
                    <w:top w:val="single" w:color="auto" w:sz="4" w:space="0"/>
                    <w:left w:val="single" w:color="auto" w:sz="4" w:space="0"/>
                    <w:bottom w:val="single" w:color="000000" w:sz="2" w:space="0"/>
                    <w:right w:val="single" w:color="auto" w:sz="4" w:space="0"/>
                  </w:tcBorders>
                  <w:noWrap w:val="0"/>
                  <w:vAlign w:val="center"/>
                </w:tcPr>
                <w:p w14:paraId="6B9EA0F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 xml:space="preserve">2023 </w:t>
                  </w:r>
                </w:p>
              </w:tc>
              <w:tc>
                <w:tcPr>
                  <w:tcW w:w="879" w:type="dxa"/>
                  <w:tcBorders>
                    <w:top w:val="single" w:color="auto" w:sz="4" w:space="0"/>
                    <w:left w:val="single" w:color="auto" w:sz="4" w:space="0"/>
                    <w:bottom w:val="single" w:color="000000" w:sz="2" w:space="0"/>
                    <w:right w:val="single" w:color="auto" w:sz="4" w:space="0"/>
                  </w:tcBorders>
                  <w:noWrap w:val="0"/>
                  <w:vAlign w:val="center"/>
                </w:tcPr>
                <w:p w14:paraId="69E6980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2024</w:t>
                  </w:r>
                </w:p>
              </w:tc>
              <w:tc>
                <w:tcPr>
                  <w:tcW w:w="900" w:type="dxa"/>
                  <w:tcBorders>
                    <w:top w:val="single" w:color="auto" w:sz="4" w:space="0"/>
                    <w:left w:val="single" w:color="auto" w:sz="4" w:space="0"/>
                    <w:bottom w:val="single" w:color="000000" w:sz="2" w:space="0"/>
                    <w:right w:val="single" w:color="auto" w:sz="4" w:space="0"/>
                  </w:tcBorders>
                  <w:noWrap w:val="0"/>
                  <w:vAlign w:val="center"/>
                </w:tcPr>
                <w:p w14:paraId="5A03C05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2025</w:t>
                  </w:r>
                </w:p>
              </w:tc>
              <w:tc>
                <w:tcPr>
                  <w:tcW w:w="897" w:type="dxa"/>
                  <w:tcBorders>
                    <w:top w:val="single" w:color="auto" w:sz="4" w:space="0"/>
                    <w:left w:val="single" w:color="auto" w:sz="4" w:space="0"/>
                    <w:bottom w:val="single" w:color="000000" w:sz="2" w:space="0"/>
                    <w:right w:val="single" w:color="auto" w:sz="4" w:space="0"/>
                  </w:tcBorders>
                  <w:noWrap w:val="0"/>
                  <w:vAlign w:val="center"/>
                </w:tcPr>
                <w:p w14:paraId="3D9EE45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2026</w:t>
                  </w:r>
                </w:p>
              </w:tc>
              <w:tc>
                <w:tcPr>
                  <w:tcW w:w="855" w:type="dxa"/>
                  <w:tcBorders>
                    <w:top w:val="single" w:color="auto" w:sz="4" w:space="0"/>
                    <w:left w:val="single" w:color="auto" w:sz="4" w:space="0"/>
                    <w:bottom w:val="single" w:color="000000" w:sz="2" w:space="0"/>
                    <w:right w:val="single" w:color="auto" w:sz="4" w:space="0"/>
                  </w:tcBorders>
                  <w:noWrap w:val="0"/>
                  <w:vAlign w:val="center"/>
                </w:tcPr>
                <w:p w14:paraId="504AE1C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2027</w:t>
                  </w:r>
                </w:p>
              </w:tc>
              <w:tc>
                <w:tcPr>
                  <w:tcW w:w="852" w:type="dxa"/>
                  <w:tcBorders>
                    <w:top w:val="single" w:color="auto" w:sz="4" w:space="0"/>
                    <w:left w:val="single" w:color="auto" w:sz="4" w:space="0"/>
                    <w:bottom w:val="single" w:color="000000" w:sz="2" w:space="0"/>
                    <w:right w:val="single" w:color="auto" w:sz="4" w:space="0"/>
                  </w:tcBorders>
                  <w:noWrap w:val="0"/>
                  <w:vAlign w:val="center"/>
                </w:tcPr>
                <w:p w14:paraId="5003D2C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2028</w:t>
                  </w:r>
                </w:p>
              </w:tc>
              <w:tc>
                <w:tcPr>
                  <w:tcW w:w="996" w:type="dxa"/>
                  <w:tcBorders>
                    <w:top w:val="single" w:color="auto" w:sz="4" w:space="0"/>
                    <w:left w:val="single" w:color="auto" w:sz="4" w:space="0"/>
                    <w:bottom w:val="single" w:color="000000" w:sz="2" w:space="0"/>
                    <w:right w:val="single" w:color="000000" w:sz="2" w:space="0"/>
                  </w:tcBorders>
                  <w:noWrap w:val="0"/>
                  <w:vAlign w:val="center"/>
                </w:tcPr>
                <w:p w14:paraId="2F5A5043">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Итого</w:t>
                  </w:r>
                </w:p>
              </w:tc>
            </w:tr>
            <w:tr w14:paraId="4E5D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000000" w:sz="2" w:space="0"/>
                    <w:left w:val="single" w:color="000000" w:sz="2" w:space="0"/>
                    <w:bottom w:val="single" w:color="000000" w:sz="2" w:space="0"/>
                    <w:right w:val="single" w:color="auto" w:sz="4" w:space="0"/>
                  </w:tcBorders>
                  <w:noWrap/>
                  <w:vAlign w:val="center"/>
                </w:tcPr>
                <w:p w14:paraId="7E51E30E">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ВСЕГО</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5613E2F1">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35519376,00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1156555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44518802,00</w:t>
                  </w:r>
                </w:p>
              </w:tc>
              <w:tc>
                <w:tcPr>
                  <w:tcW w:w="879" w:type="dxa"/>
                  <w:tcBorders>
                    <w:top w:val="single" w:color="000000" w:sz="2" w:space="0"/>
                    <w:left w:val="single" w:color="auto" w:sz="4" w:space="0"/>
                    <w:bottom w:val="single" w:color="000000" w:sz="2" w:space="0"/>
                    <w:right w:val="single" w:color="auto" w:sz="4" w:space="0"/>
                  </w:tcBorders>
                  <w:noWrap/>
                  <w:vAlign w:val="center"/>
                </w:tcPr>
                <w:p w14:paraId="05EBA0EC">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47539148,00</w:t>
                  </w:r>
                </w:p>
              </w:tc>
              <w:tc>
                <w:tcPr>
                  <w:tcW w:w="900" w:type="dxa"/>
                  <w:tcBorders>
                    <w:top w:val="single" w:color="000000" w:sz="2" w:space="0"/>
                    <w:left w:val="single" w:color="auto" w:sz="4" w:space="0"/>
                    <w:bottom w:val="single" w:color="000000" w:sz="2" w:space="0"/>
                    <w:right w:val="single" w:color="auto" w:sz="4" w:space="0"/>
                  </w:tcBorders>
                  <w:noWrap/>
                  <w:vAlign w:val="center"/>
                </w:tcPr>
                <w:p w14:paraId="5DD4AAEF">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57299999,18</w:t>
                  </w:r>
                </w:p>
              </w:tc>
              <w:tc>
                <w:tcPr>
                  <w:tcW w:w="897" w:type="dxa"/>
                  <w:tcBorders>
                    <w:top w:val="single" w:color="000000" w:sz="2" w:space="0"/>
                    <w:left w:val="single" w:color="auto" w:sz="4" w:space="0"/>
                    <w:bottom w:val="single" w:color="000000" w:sz="2" w:space="0"/>
                    <w:right w:val="single" w:color="auto" w:sz="4" w:space="0"/>
                  </w:tcBorders>
                  <w:noWrap/>
                  <w:vAlign w:val="center"/>
                </w:tcPr>
                <w:p w14:paraId="1D531A6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52203445,00</w:t>
                  </w:r>
                </w:p>
              </w:tc>
              <w:tc>
                <w:tcPr>
                  <w:tcW w:w="855" w:type="dxa"/>
                  <w:tcBorders>
                    <w:top w:val="single" w:color="000000" w:sz="2" w:space="0"/>
                    <w:left w:val="single" w:color="auto" w:sz="4" w:space="0"/>
                    <w:bottom w:val="single" w:color="000000" w:sz="2" w:space="0"/>
                    <w:right w:val="single" w:color="auto" w:sz="4" w:space="0"/>
                  </w:tcBorders>
                  <w:noWrap/>
                  <w:vAlign w:val="center"/>
                </w:tcPr>
                <w:p w14:paraId="37A5FD3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51455551,00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61997196">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51714656,00</w:t>
                  </w:r>
                </w:p>
              </w:tc>
              <w:tc>
                <w:tcPr>
                  <w:tcW w:w="996" w:type="dxa"/>
                  <w:tcBorders>
                    <w:top w:val="single" w:color="000000" w:sz="2" w:space="0"/>
                    <w:left w:val="single" w:color="auto" w:sz="4" w:space="0"/>
                    <w:bottom w:val="single" w:color="000000" w:sz="2" w:space="0"/>
                    <w:right w:val="single" w:color="000000" w:sz="2" w:space="0"/>
                  </w:tcBorders>
                  <w:noWrap/>
                  <w:vAlign w:val="center"/>
                </w:tcPr>
                <w:p w14:paraId="6CEAD4A4">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340250977,18</w:t>
                  </w:r>
                </w:p>
              </w:tc>
            </w:tr>
            <w:tr w14:paraId="0D2AA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000000" w:sz="2" w:space="0"/>
                    <w:left w:val="single" w:color="000000" w:sz="2" w:space="0"/>
                    <w:bottom w:val="single" w:color="000000" w:sz="2" w:space="0"/>
                    <w:right w:val="single" w:color="auto" w:sz="4" w:space="0"/>
                  </w:tcBorders>
                  <w:noWrap w:val="0"/>
                  <w:vAlign w:val="center"/>
                </w:tcPr>
                <w:p w14:paraId="5F0B7A7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Федеральный бюджет</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271F26F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41641,43</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6BCA28B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34685,56</w:t>
                  </w:r>
                </w:p>
              </w:tc>
              <w:tc>
                <w:tcPr>
                  <w:tcW w:w="879" w:type="dxa"/>
                  <w:tcBorders>
                    <w:top w:val="single" w:color="000000" w:sz="2" w:space="0"/>
                    <w:left w:val="single" w:color="auto" w:sz="4" w:space="0"/>
                    <w:bottom w:val="single" w:color="000000" w:sz="2" w:space="0"/>
                    <w:right w:val="single" w:color="auto" w:sz="4" w:space="0"/>
                  </w:tcBorders>
                  <w:noWrap/>
                  <w:vAlign w:val="center"/>
                </w:tcPr>
                <w:p w14:paraId="184E18C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lang w:val="ru-RU"/>
                    </w:rPr>
                  </w:pPr>
                  <w:r>
                    <w:rPr>
                      <w:rFonts w:hint="default" w:ascii="Times New Roman" w:hAnsi="Times New Roman" w:eastAsia="SimSun" w:cs="Times New Roman"/>
                      <w:i w:val="0"/>
                      <w:iCs w:val="0"/>
                      <w:color w:val="000000"/>
                      <w:kern w:val="0"/>
                      <w:sz w:val="12"/>
                      <w:szCs w:val="12"/>
                      <w:u w:val="none"/>
                      <w:lang w:val="en-US" w:eastAsia="zh-CN" w:bidi="ar"/>
                    </w:rPr>
                    <w:t>567959,07</w:t>
                  </w:r>
                </w:p>
              </w:tc>
              <w:tc>
                <w:tcPr>
                  <w:tcW w:w="900" w:type="dxa"/>
                  <w:tcBorders>
                    <w:top w:val="single" w:color="000000" w:sz="2" w:space="0"/>
                    <w:left w:val="single" w:color="auto" w:sz="4" w:space="0"/>
                    <w:bottom w:val="single" w:color="000000" w:sz="2" w:space="0"/>
                    <w:right w:val="single" w:color="auto" w:sz="4" w:space="0"/>
                  </w:tcBorders>
                  <w:noWrap/>
                  <w:vAlign w:val="center"/>
                </w:tcPr>
                <w:p w14:paraId="6A05F43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29140,00</w:t>
                  </w:r>
                </w:p>
              </w:tc>
              <w:tc>
                <w:tcPr>
                  <w:tcW w:w="897" w:type="dxa"/>
                  <w:tcBorders>
                    <w:top w:val="single" w:color="000000" w:sz="2" w:space="0"/>
                    <w:left w:val="single" w:color="auto" w:sz="4" w:space="0"/>
                    <w:bottom w:val="single" w:color="000000" w:sz="2" w:space="0"/>
                    <w:right w:val="single" w:color="auto" w:sz="4" w:space="0"/>
                  </w:tcBorders>
                  <w:noWrap/>
                  <w:vAlign w:val="center"/>
                </w:tcPr>
                <w:p w14:paraId="349448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26132,00</w:t>
                  </w:r>
                </w:p>
              </w:tc>
              <w:tc>
                <w:tcPr>
                  <w:tcW w:w="855" w:type="dxa"/>
                  <w:tcBorders>
                    <w:top w:val="single" w:color="000000" w:sz="2" w:space="0"/>
                    <w:left w:val="single" w:color="auto" w:sz="4" w:space="0"/>
                    <w:bottom w:val="single" w:color="000000" w:sz="2" w:space="0"/>
                    <w:right w:val="single" w:color="auto" w:sz="4" w:space="0"/>
                  </w:tcBorders>
                  <w:noWrap/>
                  <w:vAlign w:val="center"/>
                </w:tcPr>
                <w:p w14:paraId="47A2CC5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0,00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3BDEF7C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0,00</w:t>
                  </w:r>
                </w:p>
              </w:tc>
              <w:tc>
                <w:tcPr>
                  <w:tcW w:w="996" w:type="dxa"/>
                  <w:tcBorders>
                    <w:top w:val="single" w:color="000000" w:sz="2" w:space="0"/>
                    <w:left w:val="single" w:color="auto" w:sz="4" w:space="0"/>
                    <w:bottom w:val="single" w:color="000000" w:sz="2" w:space="0"/>
                    <w:right w:val="single" w:color="000000" w:sz="2" w:space="0"/>
                  </w:tcBorders>
                  <w:noWrap/>
                  <w:vAlign w:val="center"/>
                </w:tcPr>
                <w:p w14:paraId="1486A5B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699558,06</w:t>
                  </w:r>
                </w:p>
              </w:tc>
            </w:tr>
            <w:tr w14:paraId="1850B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6" w:type="dxa"/>
                  <w:tcBorders>
                    <w:top w:val="single" w:color="000000" w:sz="2" w:space="0"/>
                    <w:left w:val="single" w:color="000000" w:sz="2" w:space="0"/>
                    <w:bottom w:val="single" w:color="000000" w:sz="2" w:space="0"/>
                    <w:right w:val="single" w:color="auto" w:sz="4" w:space="0"/>
                  </w:tcBorders>
                  <w:noWrap w:val="0"/>
                  <w:vAlign w:val="center"/>
                </w:tcPr>
                <w:p w14:paraId="1FE7A19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Областной бюджет</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05B7B38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16355426,57</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7C1A8B69">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18454013,07</w:t>
                  </w:r>
                </w:p>
              </w:tc>
              <w:tc>
                <w:tcPr>
                  <w:tcW w:w="879" w:type="dxa"/>
                  <w:tcBorders>
                    <w:top w:val="single" w:color="000000" w:sz="2" w:space="0"/>
                    <w:left w:val="single" w:color="auto" w:sz="4" w:space="0"/>
                    <w:bottom w:val="single" w:color="000000" w:sz="2" w:space="0"/>
                    <w:right w:val="single" w:color="auto" w:sz="4" w:space="0"/>
                  </w:tcBorders>
                  <w:noWrap/>
                  <w:vAlign w:val="center"/>
                </w:tcPr>
                <w:p w14:paraId="2E257432">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24019594,93</w:t>
                  </w:r>
                </w:p>
              </w:tc>
              <w:tc>
                <w:tcPr>
                  <w:tcW w:w="900" w:type="dxa"/>
                  <w:tcBorders>
                    <w:top w:val="single" w:color="000000" w:sz="2" w:space="0"/>
                    <w:left w:val="single" w:color="auto" w:sz="4" w:space="0"/>
                    <w:bottom w:val="single" w:color="000000" w:sz="2" w:space="0"/>
                    <w:right w:val="single" w:color="auto" w:sz="4" w:space="0"/>
                  </w:tcBorders>
                  <w:noWrap/>
                  <w:vAlign w:val="center"/>
                </w:tcPr>
                <w:p w14:paraId="3ACDAC4A">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26454811,18</w:t>
                  </w:r>
                </w:p>
              </w:tc>
              <w:tc>
                <w:tcPr>
                  <w:tcW w:w="897" w:type="dxa"/>
                  <w:tcBorders>
                    <w:top w:val="single" w:color="000000" w:sz="2" w:space="0"/>
                    <w:left w:val="single" w:color="auto" w:sz="4" w:space="0"/>
                    <w:bottom w:val="single" w:color="000000" w:sz="2" w:space="0"/>
                    <w:right w:val="single" w:color="auto" w:sz="4" w:space="0"/>
                  </w:tcBorders>
                  <w:noWrap/>
                  <w:vAlign w:val="center"/>
                </w:tcPr>
                <w:p w14:paraId="0450D5F8">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27588668,00</w:t>
                  </w:r>
                </w:p>
              </w:tc>
              <w:tc>
                <w:tcPr>
                  <w:tcW w:w="855" w:type="dxa"/>
                  <w:tcBorders>
                    <w:top w:val="single" w:color="000000" w:sz="2" w:space="0"/>
                    <w:left w:val="single" w:color="auto" w:sz="4" w:space="0"/>
                    <w:bottom w:val="single" w:color="000000" w:sz="2" w:space="0"/>
                    <w:right w:val="single" w:color="auto" w:sz="4" w:space="0"/>
                  </w:tcBorders>
                  <w:noWrap/>
                  <w:vAlign w:val="center"/>
                </w:tcPr>
                <w:p w14:paraId="24A57B47">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27645400,00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5CB2D3E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28645900,00</w:t>
                  </w:r>
                </w:p>
              </w:tc>
              <w:tc>
                <w:tcPr>
                  <w:tcW w:w="996" w:type="dxa"/>
                  <w:tcBorders>
                    <w:top w:val="single" w:color="000000" w:sz="2" w:space="0"/>
                    <w:left w:val="single" w:color="auto" w:sz="4" w:space="0"/>
                    <w:bottom w:val="single" w:color="000000" w:sz="2" w:space="0"/>
                    <w:right w:val="single" w:color="000000" w:sz="2" w:space="0"/>
                  </w:tcBorders>
                  <w:noWrap/>
                  <w:vAlign w:val="center"/>
                </w:tcPr>
                <w:p w14:paraId="6B54E71D">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169163813,75</w:t>
                  </w:r>
                </w:p>
              </w:tc>
            </w:tr>
            <w:tr w14:paraId="61CB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 w:type="dxa"/>
                  <w:tcBorders>
                    <w:top w:val="single" w:color="000000" w:sz="2" w:space="0"/>
                    <w:left w:val="single" w:color="000000" w:sz="2" w:space="0"/>
                    <w:bottom w:val="single" w:color="000000" w:sz="2" w:space="0"/>
                    <w:right w:val="single" w:color="auto" w:sz="4" w:space="0"/>
                  </w:tcBorders>
                  <w:noWrap/>
                  <w:vAlign w:val="center"/>
                </w:tcPr>
                <w:p w14:paraId="4754D6EF">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Местный бюджет</w:t>
                  </w:r>
                </w:p>
              </w:tc>
              <w:tc>
                <w:tcPr>
                  <w:tcW w:w="948" w:type="dxa"/>
                  <w:tcBorders>
                    <w:top w:val="single" w:color="000000" w:sz="2" w:space="0"/>
                    <w:left w:val="single" w:color="auto" w:sz="4" w:space="0"/>
                    <w:bottom w:val="single" w:color="000000" w:sz="2" w:space="0"/>
                    <w:right w:val="single" w:color="auto" w:sz="4" w:space="0"/>
                  </w:tcBorders>
                  <w:noWrap/>
                  <w:vAlign w:val="center"/>
                </w:tcPr>
                <w:p w14:paraId="1DE8C88D">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19122308,00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04965FD0">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26030103,37</w:t>
                  </w:r>
                </w:p>
              </w:tc>
              <w:tc>
                <w:tcPr>
                  <w:tcW w:w="879" w:type="dxa"/>
                  <w:tcBorders>
                    <w:top w:val="single" w:color="000000" w:sz="2" w:space="0"/>
                    <w:left w:val="single" w:color="auto" w:sz="4" w:space="0"/>
                    <w:bottom w:val="single" w:color="000000" w:sz="2" w:space="0"/>
                    <w:right w:val="single" w:color="auto" w:sz="4" w:space="0"/>
                  </w:tcBorders>
                  <w:noWrap/>
                  <w:vAlign w:val="center"/>
                </w:tcPr>
                <w:p w14:paraId="15CD52BC">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22951594,00</w:t>
                  </w:r>
                </w:p>
              </w:tc>
              <w:tc>
                <w:tcPr>
                  <w:tcW w:w="900" w:type="dxa"/>
                  <w:tcBorders>
                    <w:top w:val="single" w:color="000000" w:sz="2" w:space="0"/>
                    <w:left w:val="single" w:color="auto" w:sz="4" w:space="0"/>
                    <w:bottom w:val="single" w:color="000000" w:sz="2" w:space="0"/>
                    <w:right w:val="single" w:color="auto" w:sz="4" w:space="0"/>
                  </w:tcBorders>
                  <w:noWrap/>
                  <w:vAlign w:val="center"/>
                </w:tcPr>
                <w:p w14:paraId="1603C276">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30816048,00</w:t>
                  </w:r>
                </w:p>
              </w:tc>
              <w:tc>
                <w:tcPr>
                  <w:tcW w:w="897" w:type="dxa"/>
                  <w:tcBorders>
                    <w:top w:val="single" w:color="000000" w:sz="2" w:space="0"/>
                    <w:left w:val="single" w:color="auto" w:sz="4" w:space="0"/>
                    <w:bottom w:val="single" w:color="000000" w:sz="2" w:space="0"/>
                    <w:right w:val="single" w:color="auto" w:sz="4" w:space="0"/>
                  </w:tcBorders>
                  <w:noWrap/>
                  <w:vAlign w:val="center"/>
                </w:tcPr>
                <w:p w14:paraId="20845F0E">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24588645,00</w:t>
                  </w:r>
                </w:p>
              </w:tc>
              <w:tc>
                <w:tcPr>
                  <w:tcW w:w="855" w:type="dxa"/>
                  <w:tcBorders>
                    <w:top w:val="single" w:color="000000" w:sz="2" w:space="0"/>
                    <w:left w:val="single" w:color="auto" w:sz="4" w:space="0"/>
                    <w:bottom w:val="single" w:color="000000" w:sz="2" w:space="0"/>
                    <w:right w:val="single" w:color="auto" w:sz="4" w:space="0"/>
                  </w:tcBorders>
                  <w:noWrap/>
                  <w:vAlign w:val="center"/>
                </w:tcPr>
                <w:p w14:paraId="36925EB5">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23810151,00</w:t>
                  </w:r>
                </w:p>
              </w:tc>
              <w:tc>
                <w:tcPr>
                  <w:tcW w:w="852" w:type="dxa"/>
                  <w:tcBorders>
                    <w:top w:val="single" w:color="000000" w:sz="2" w:space="0"/>
                    <w:left w:val="single" w:color="auto" w:sz="4" w:space="0"/>
                    <w:bottom w:val="single" w:color="000000" w:sz="2" w:space="0"/>
                    <w:right w:val="single" w:color="auto" w:sz="4" w:space="0"/>
                  </w:tcBorders>
                  <w:noWrap/>
                  <w:vAlign w:val="center"/>
                </w:tcPr>
                <w:p w14:paraId="16D7FFA1">
                  <w:pPr>
                    <w:keepNext w:val="0"/>
                    <w:keepLines w:val="0"/>
                    <w:widowControl/>
                    <w:suppressLineNumbers w:val="0"/>
                    <w:ind w:left="0" w:leftChars="0" w:firstLine="0" w:firstLineChars="0"/>
                    <w:jc w:val="center"/>
                    <w:textAlignment w:val="center"/>
                    <w:rPr>
                      <w:rFonts w:hint="default" w:ascii="Times New Roman" w:hAnsi="Times New Roman" w:cs="Times New Roman"/>
                      <w:i w:val="0"/>
                      <w:iCs w:val="0"/>
                      <w:color w:val="000000"/>
                      <w:sz w:val="12"/>
                      <w:szCs w:val="12"/>
                      <w:u w:val="none"/>
                    </w:rPr>
                  </w:pPr>
                  <w:r>
                    <w:rPr>
                      <w:rFonts w:hint="default" w:ascii="Times New Roman" w:hAnsi="Times New Roman" w:eastAsia="SimSun" w:cs="Times New Roman"/>
                      <w:i w:val="0"/>
                      <w:iCs w:val="0"/>
                      <w:color w:val="000000"/>
                      <w:kern w:val="0"/>
                      <w:sz w:val="12"/>
                      <w:szCs w:val="12"/>
                      <w:u w:val="none"/>
                      <w:lang w:val="en-US" w:eastAsia="zh-CN" w:bidi="ar"/>
                    </w:rPr>
                    <w:t>23068756,00</w:t>
                  </w:r>
                </w:p>
              </w:tc>
              <w:tc>
                <w:tcPr>
                  <w:tcW w:w="996" w:type="dxa"/>
                  <w:tcBorders>
                    <w:top w:val="single" w:color="000000" w:sz="2" w:space="0"/>
                    <w:left w:val="single" w:color="auto" w:sz="4" w:space="0"/>
                    <w:bottom w:val="single" w:color="000000" w:sz="2" w:space="0"/>
                    <w:right w:val="single" w:color="000000" w:sz="2" w:space="0"/>
                  </w:tcBorders>
                  <w:noWrap/>
                  <w:vAlign w:val="center"/>
                </w:tcPr>
                <w:p w14:paraId="6F991935">
                  <w:pPr>
                    <w:keepNext w:val="0"/>
                    <w:keepLines w:val="0"/>
                    <w:widowControl/>
                    <w:suppressLineNumbers w:val="0"/>
                    <w:ind w:left="0" w:leftChars="0" w:firstLine="0" w:firstLineChars="0"/>
                    <w:jc w:val="center"/>
                    <w:textAlignment w:val="center"/>
                    <w:rPr>
                      <w:rFonts w:hint="default" w:ascii="Times New Roman" w:hAnsi="Times New Roman" w:cs="Times New Roman"/>
                      <w:b/>
                      <w:bCs/>
                      <w:i w:val="0"/>
                      <w:iCs w:val="0"/>
                      <w:color w:val="000000"/>
                      <w:sz w:val="12"/>
                      <w:szCs w:val="12"/>
                      <w:u w:val="none"/>
                    </w:rPr>
                  </w:pPr>
                  <w:r>
                    <w:rPr>
                      <w:rFonts w:hint="default" w:ascii="Times New Roman" w:hAnsi="Times New Roman" w:eastAsia="SimSun" w:cs="Times New Roman"/>
                      <w:b/>
                      <w:bCs/>
                      <w:i w:val="0"/>
                      <w:iCs w:val="0"/>
                      <w:color w:val="000000"/>
                      <w:kern w:val="0"/>
                      <w:sz w:val="12"/>
                      <w:szCs w:val="12"/>
                      <w:u w:val="none"/>
                      <w:lang w:val="en-US" w:eastAsia="zh-CN" w:bidi="ar"/>
                    </w:rPr>
                    <w:t>170387605,37</w:t>
                  </w:r>
                </w:p>
              </w:tc>
            </w:tr>
          </w:tbl>
          <w:p w14:paraId="79F50A29">
            <w:pPr>
              <w:autoSpaceDE w:val="0"/>
              <w:ind w:left="0" w:leftChars="0" w:firstLine="0" w:firstLineChars="0"/>
              <w:rPr>
                <w:rFonts w:eastAsia="Arial"/>
                <w:szCs w:val="28"/>
                <w:lang w:eastAsia="ar-SA"/>
              </w:rPr>
            </w:pPr>
          </w:p>
        </w:tc>
      </w:tr>
      <w:tr w14:paraId="3458790F">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00" w:hRule="atLeast"/>
        </w:trPr>
        <w:tc>
          <w:tcPr>
            <w:tcW w:w="1918"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648DCEB">
            <w:pPr>
              <w:ind w:firstLine="0" w:firstLineChars="0"/>
              <w:jc w:val="left"/>
              <w:rPr>
                <w:rFonts w:eastAsia="SimSun"/>
                <w:sz w:val="28"/>
                <w:szCs w:val="28"/>
              </w:rPr>
            </w:pPr>
            <w:r>
              <w:rPr>
                <w:rFonts w:eastAsia="SimSun"/>
                <w:sz w:val="28"/>
                <w:szCs w:val="28"/>
              </w:rPr>
              <w:t xml:space="preserve">Ожидаемые  конечные  результаты  реализации муниципальной программы                  </w:t>
            </w:r>
          </w:p>
        </w:tc>
        <w:tc>
          <w:tcPr>
            <w:tcW w:w="8260" w:type="dxa"/>
            <w:tcBorders>
              <w:left w:val="single" w:color="00000A" w:sz="4" w:space="0"/>
              <w:bottom w:val="single" w:color="00000A" w:sz="4" w:space="0"/>
              <w:right w:val="single" w:color="00000A" w:sz="4" w:space="0"/>
            </w:tcBorders>
            <w:shd w:val="clear" w:color="auto" w:fill="FFFFFF"/>
            <w:tcMar>
              <w:top w:w="0" w:type="dxa"/>
              <w:left w:w="10" w:type="dxa"/>
              <w:bottom w:w="0" w:type="dxa"/>
              <w:right w:w="10" w:type="dxa"/>
            </w:tcMar>
            <w:vAlign w:val="top"/>
          </w:tcPr>
          <w:p w14:paraId="64FC78CF">
            <w:pPr>
              <w:ind w:firstLine="0"/>
              <w:jc w:val="left"/>
              <w:rPr>
                <w:rFonts w:hint="default" w:ascii="Times New Roman" w:hAnsi="Times New Roman" w:cs="Times New Roman"/>
                <w:szCs w:val="28"/>
              </w:rPr>
            </w:pPr>
            <w:r>
              <w:rPr>
                <w:rFonts w:hint="default" w:ascii="Times New Roman" w:hAnsi="Times New Roman" w:cs="Times New Roman"/>
                <w:szCs w:val="28"/>
              </w:rPr>
              <w:t xml:space="preserve">В качественном выражении: </w:t>
            </w:r>
          </w:p>
          <w:p w14:paraId="3DBDE4AB">
            <w:pPr>
              <w:ind w:firstLine="0"/>
              <w:jc w:val="left"/>
              <w:rPr>
                <w:rFonts w:hint="default" w:ascii="Times New Roman" w:hAnsi="Times New Roman" w:cs="Times New Roman"/>
                <w:szCs w:val="28"/>
              </w:rPr>
            </w:pPr>
            <w:r>
              <w:rPr>
                <w:rFonts w:hint="default" w:ascii="Times New Roman" w:hAnsi="Times New Roman" w:cs="Times New Roman"/>
                <w:szCs w:val="28"/>
              </w:rPr>
              <w:t>формирование единого культурного пространства на основе эффективной модернизации сети учреждений культуры Лебяжского муниципального округа;</w:t>
            </w:r>
          </w:p>
          <w:p w14:paraId="0136A49C">
            <w:pPr>
              <w:ind w:firstLine="0"/>
              <w:jc w:val="left"/>
              <w:rPr>
                <w:rFonts w:hint="default" w:ascii="Times New Roman" w:hAnsi="Times New Roman" w:cs="Times New Roman"/>
                <w:szCs w:val="28"/>
              </w:rPr>
            </w:pPr>
            <w:r>
              <w:rPr>
                <w:rFonts w:hint="default" w:ascii="Times New Roman" w:hAnsi="Times New Roman" w:cs="Times New Roman"/>
                <w:szCs w:val="28"/>
              </w:rPr>
              <w:t>повышение качества услуг, предоставляемых населению учреждениями культуры;</w:t>
            </w:r>
          </w:p>
          <w:p w14:paraId="55A91DB3">
            <w:pPr>
              <w:ind w:firstLine="0"/>
              <w:jc w:val="left"/>
              <w:rPr>
                <w:rFonts w:hint="default" w:ascii="Times New Roman" w:hAnsi="Times New Roman" w:cs="Times New Roman"/>
                <w:szCs w:val="28"/>
              </w:rPr>
            </w:pPr>
            <w:r>
              <w:rPr>
                <w:rFonts w:hint="default" w:ascii="Times New Roman" w:hAnsi="Times New Roman" w:cs="Times New Roman"/>
                <w:szCs w:val="28"/>
              </w:rPr>
              <w:t>активизация внутреннего и въездного туризма, развитие событийного туризма на территории Лебяжского муниципального округа;</w:t>
            </w:r>
          </w:p>
          <w:p w14:paraId="6C0A26D9">
            <w:pPr>
              <w:ind w:firstLine="0"/>
              <w:jc w:val="left"/>
              <w:rPr>
                <w:rFonts w:hint="default" w:ascii="Times New Roman" w:hAnsi="Times New Roman" w:cs="Times New Roman"/>
                <w:szCs w:val="28"/>
              </w:rPr>
            </w:pPr>
            <w:r>
              <w:rPr>
                <w:rFonts w:hint="default" w:ascii="Times New Roman" w:hAnsi="Times New Roman" w:cs="Times New Roman"/>
                <w:szCs w:val="28"/>
              </w:rPr>
              <w:t>В количественном выражении:</w:t>
            </w:r>
          </w:p>
          <w:p w14:paraId="3F8D24BB">
            <w:pPr>
              <w:ind w:firstLine="0"/>
              <w:rPr>
                <w:rFonts w:hint="default" w:ascii="Times New Roman" w:hAnsi="Times New Roman" w:cs="Times New Roman"/>
                <w:szCs w:val="28"/>
              </w:rPr>
            </w:pPr>
            <w:r>
              <w:rPr>
                <w:rFonts w:hint="default" w:ascii="Times New Roman" w:hAnsi="Times New Roman" w:cs="Times New Roman"/>
                <w:szCs w:val="28"/>
              </w:rPr>
              <w:t>к 202</w:t>
            </w:r>
            <w:r>
              <w:rPr>
                <w:rFonts w:hint="default" w:cs="Times New Roman"/>
                <w:szCs w:val="28"/>
                <w:lang w:val="ru-RU"/>
              </w:rPr>
              <w:t>8</w:t>
            </w:r>
            <w:r>
              <w:rPr>
                <w:rFonts w:hint="default" w:ascii="Times New Roman" w:hAnsi="Times New Roman" w:cs="Times New Roman"/>
                <w:szCs w:val="28"/>
              </w:rPr>
              <w:t xml:space="preserve"> году:</w:t>
            </w:r>
          </w:p>
          <w:p w14:paraId="77E3F653">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lang w:val="ru-RU"/>
              </w:rPr>
              <w:t>рост</w:t>
            </w:r>
            <w:r>
              <w:rPr>
                <w:rFonts w:hint="default" w:ascii="Times New Roman" w:hAnsi="Times New Roman" w:cs="Times New Roman"/>
                <w:szCs w:val="28"/>
                <w:highlight w:val="none"/>
              </w:rPr>
              <w:t xml:space="preserve"> посещений  библиотек на 1 жителя в год</w:t>
            </w:r>
            <w:r>
              <w:rPr>
                <w:rFonts w:hint="default" w:ascii="Times New Roman" w:hAnsi="Times New Roman" w:cs="Times New Roman"/>
                <w:szCs w:val="28"/>
                <w:highlight w:val="none"/>
                <w:lang w:val="ru-RU"/>
              </w:rPr>
              <w:t xml:space="preserve"> составит 12 посещений</w:t>
            </w:r>
            <w:r>
              <w:rPr>
                <w:rFonts w:hint="default" w:ascii="Times New Roman" w:hAnsi="Times New Roman" w:cs="Times New Roman"/>
                <w:szCs w:val="28"/>
                <w:highlight w:val="none"/>
              </w:rPr>
              <w:t>;</w:t>
            </w:r>
          </w:p>
          <w:p w14:paraId="43BC973D">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темп роста численности участников культурно</w:t>
            </w:r>
            <w:r>
              <w:rPr>
                <w:rFonts w:hint="default" w:ascii="Times New Roman" w:hAnsi="Times New Roman" w:cs="Times New Roman"/>
                <w:szCs w:val="28"/>
                <w:highlight w:val="none"/>
                <w:lang w:val="ru-RU"/>
              </w:rPr>
              <w:t xml:space="preserve"> </w:t>
            </w:r>
            <w:r>
              <w:rPr>
                <w:rFonts w:hint="default" w:ascii="Times New Roman" w:hAnsi="Times New Roman" w:cs="Times New Roman"/>
                <w:szCs w:val="28"/>
                <w:highlight w:val="none"/>
              </w:rPr>
              <w:t>-</w:t>
            </w:r>
            <w:r>
              <w:rPr>
                <w:rFonts w:hint="default" w:ascii="Times New Roman" w:hAnsi="Times New Roman" w:cs="Times New Roman"/>
                <w:szCs w:val="28"/>
                <w:highlight w:val="none"/>
                <w:lang w:val="ru-RU"/>
              </w:rPr>
              <w:t xml:space="preserve"> </w:t>
            </w:r>
            <w:r>
              <w:rPr>
                <w:rFonts w:hint="default" w:ascii="Times New Roman" w:hAnsi="Times New Roman" w:cs="Times New Roman"/>
                <w:szCs w:val="28"/>
                <w:highlight w:val="none"/>
              </w:rPr>
              <w:t>массовых мероприятий, проводимых учреждениями культурно</w:t>
            </w:r>
            <w:r>
              <w:rPr>
                <w:rFonts w:hint="default" w:cs="Times New Roman"/>
                <w:szCs w:val="28"/>
                <w:highlight w:val="none"/>
                <w:lang w:val="ru-RU"/>
              </w:rPr>
              <w:t xml:space="preserve"> </w:t>
            </w:r>
            <w:r>
              <w:rPr>
                <w:rFonts w:hint="default" w:ascii="Times New Roman" w:hAnsi="Times New Roman" w:cs="Times New Roman"/>
                <w:szCs w:val="28"/>
                <w:highlight w:val="none"/>
              </w:rPr>
              <w:t>-</w:t>
            </w:r>
            <w:r>
              <w:rPr>
                <w:rFonts w:hint="default" w:cs="Times New Roman"/>
                <w:szCs w:val="28"/>
                <w:highlight w:val="none"/>
                <w:lang w:val="ru-RU"/>
              </w:rPr>
              <w:t xml:space="preserve"> </w:t>
            </w:r>
            <w:r>
              <w:rPr>
                <w:rFonts w:hint="default" w:ascii="Times New Roman" w:hAnsi="Times New Roman" w:cs="Times New Roman"/>
                <w:szCs w:val="28"/>
                <w:highlight w:val="none"/>
              </w:rPr>
              <w:t>досугового типа</w:t>
            </w:r>
            <w:r>
              <w:rPr>
                <w:rFonts w:hint="default" w:ascii="Times New Roman" w:hAnsi="Times New Roman" w:cs="Times New Roman"/>
                <w:szCs w:val="28"/>
                <w:highlight w:val="none"/>
                <w:lang w:val="ru-RU"/>
              </w:rPr>
              <w:t xml:space="preserve"> к предыдущему году</w:t>
            </w:r>
            <w:r>
              <w:rPr>
                <w:rFonts w:hint="default" w:ascii="Times New Roman" w:hAnsi="Times New Roman" w:cs="Times New Roman"/>
                <w:szCs w:val="28"/>
                <w:highlight w:val="none"/>
              </w:rPr>
              <w:t xml:space="preserve"> составит 10</w:t>
            </w:r>
            <w:r>
              <w:rPr>
                <w:rFonts w:hint="default" w:ascii="Times New Roman" w:hAnsi="Times New Roman" w:cs="Times New Roman"/>
                <w:szCs w:val="28"/>
                <w:highlight w:val="none"/>
                <w:lang w:val="ru-RU"/>
              </w:rPr>
              <w:t>7</w:t>
            </w:r>
            <w:r>
              <w:rPr>
                <w:rFonts w:hint="default" w:ascii="Times New Roman" w:hAnsi="Times New Roman" w:cs="Times New Roman"/>
                <w:szCs w:val="28"/>
                <w:highlight w:val="none"/>
              </w:rPr>
              <w:t>%;</w:t>
            </w:r>
          </w:p>
          <w:p w14:paraId="713FF9D4">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посещаемость  музея </w:t>
            </w:r>
            <w:r>
              <w:rPr>
                <w:rFonts w:hint="default" w:ascii="Times New Roman" w:hAnsi="Times New Roman" w:cs="Times New Roman"/>
                <w:szCs w:val="28"/>
                <w:highlight w:val="none"/>
                <w:lang w:val="ru-RU"/>
              </w:rPr>
              <w:t xml:space="preserve">на 1000 человек </w:t>
            </w:r>
            <w:r>
              <w:rPr>
                <w:rFonts w:hint="default" w:ascii="Times New Roman" w:hAnsi="Times New Roman" w:cs="Times New Roman"/>
                <w:szCs w:val="28"/>
                <w:highlight w:val="none"/>
              </w:rPr>
              <w:t xml:space="preserve">увеличится до </w:t>
            </w:r>
            <w:r>
              <w:rPr>
                <w:rFonts w:hint="default" w:ascii="Times New Roman" w:hAnsi="Times New Roman" w:cs="Times New Roman"/>
                <w:szCs w:val="28"/>
                <w:highlight w:val="none"/>
                <w:lang w:val="ru-RU"/>
              </w:rPr>
              <w:t>600</w:t>
            </w:r>
            <w:r>
              <w:rPr>
                <w:rFonts w:hint="default" w:ascii="Times New Roman" w:hAnsi="Times New Roman" w:cs="Times New Roman"/>
                <w:szCs w:val="28"/>
                <w:highlight w:val="none"/>
              </w:rPr>
              <w:t xml:space="preserve"> посещений,</w:t>
            </w:r>
          </w:p>
          <w:p w14:paraId="7368E810">
            <w:pPr>
              <w:ind w:firstLine="0"/>
              <w:rPr>
                <w:rFonts w:hint="default" w:ascii="Times New Roman" w:hAnsi="Times New Roman" w:cs="Times New Roman"/>
                <w:szCs w:val="28"/>
                <w:highlight w:val="none"/>
              </w:rPr>
            </w:pPr>
            <w:r>
              <w:rPr>
                <w:rFonts w:hint="default" w:ascii="Times New Roman" w:hAnsi="Times New Roman" w:cs="Times New Roman"/>
                <w:szCs w:val="28"/>
                <w:highlight w:val="none"/>
              </w:rPr>
              <w:t xml:space="preserve">количество учащихся детской школы искусств </w:t>
            </w:r>
            <w:r>
              <w:rPr>
                <w:rFonts w:hint="default" w:ascii="Times New Roman" w:hAnsi="Times New Roman" w:cs="Times New Roman"/>
                <w:szCs w:val="28"/>
                <w:highlight w:val="none"/>
                <w:lang w:val="ru-RU"/>
              </w:rPr>
              <w:t>составит 50</w:t>
            </w:r>
            <w:r>
              <w:rPr>
                <w:rFonts w:hint="default" w:ascii="Times New Roman" w:hAnsi="Times New Roman" w:cs="Times New Roman"/>
                <w:szCs w:val="28"/>
                <w:highlight w:val="none"/>
              </w:rPr>
              <w:t xml:space="preserve"> учащихся;</w:t>
            </w:r>
          </w:p>
          <w:p w14:paraId="02BF2AC9">
            <w:pPr>
              <w:ind w:firstLine="0"/>
              <w:rPr>
                <w:rFonts w:hint="default" w:ascii="Times New Roman" w:hAnsi="Times New Roman" w:eastAsia="SimSun" w:cs="Times New Roman"/>
                <w:szCs w:val="28"/>
                <w:highlight w:val="none"/>
              </w:rPr>
            </w:pPr>
            <w:r>
              <w:rPr>
                <w:rFonts w:hint="default" w:ascii="Times New Roman" w:hAnsi="Times New Roman" w:eastAsia="SimSun" w:cs="Times New Roman"/>
                <w:szCs w:val="28"/>
                <w:highlight w:val="none"/>
              </w:rPr>
              <w:t>рост численности туристов</w:t>
            </w:r>
            <w:r>
              <w:rPr>
                <w:rFonts w:hint="default" w:ascii="Times New Roman" w:hAnsi="Times New Roman" w:cs="Times New Roman"/>
                <w:szCs w:val="28"/>
                <w:highlight w:val="none"/>
                <w:lang w:val="ru-RU"/>
              </w:rPr>
              <w:t xml:space="preserve"> к предыдущему году</w:t>
            </w:r>
            <w:r>
              <w:rPr>
                <w:rFonts w:hint="default" w:ascii="Times New Roman" w:hAnsi="Times New Roman" w:eastAsia="SimSun" w:cs="Times New Roman"/>
                <w:szCs w:val="28"/>
                <w:highlight w:val="none"/>
              </w:rPr>
              <w:t xml:space="preserve"> ежегодно увеличится на</w:t>
            </w:r>
            <w:r>
              <w:rPr>
                <w:rFonts w:hint="default" w:ascii="Times New Roman" w:hAnsi="Times New Roman" w:cs="Times New Roman"/>
                <w:szCs w:val="28"/>
                <w:highlight w:val="none"/>
                <w:lang w:val="ru-RU"/>
              </w:rPr>
              <w:t xml:space="preserve"> 4</w:t>
            </w:r>
            <w:r>
              <w:rPr>
                <w:rFonts w:hint="default" w:ascii="Times New Roman" w:hAnsi="Times New Roman" w:eastAsia="SimSun" w:cs="Times New Roman"/>
                <w:szCs w:val="28"/>
                <w:highlight w:val="none"/>
              </w:rPr>
              <w:t>%;</w:t>
            </w:r>
          </w:p>
          <w:p w14:paraId="62DFA1B0">
            <w:pPr>
              <w:ind w:firstLine="0"/>
              <w:rPr>
                <w:rFonts w:hint="default" w:ascii="Times New Roman" w:hAnsi="Times New Roman" w:eastAsia="SimSun" w:cs="Times New Roman"/>
                <w:szCs w:val="28"/>
                <w:highlight w:val="none"/>
                <w:lang w:val="ru-RU"/>
              </w:rPr>
            </w:pPr>
            <w:r>
              <w:rPr>
                <w:rFonts w:hint="default" w:ascii="Times New Roman" w:hAnsi="Times New Roman" w:eastAsia="SimSun" w:cs="Times New Roman"/>
                <w:szCs w:val="28"/>
                <w:highlight w:val="none"/>
              </w:rPr>
              <w:t>увеличение количества посещений учреждений культуры по отношению к 2020 году должно составить 5</w:t>
            </w:r>
            <w:r>
              <w:rPr>
                <w:rFonts w:hint="default" w:ascii="Times New Roman" w:hAnsi="Times New Roman" w:cs="Times New Roman"/>
                <w:szCs w:val="28"/>
                <w:highlight w:val="none"/>
                <w:lang w:val="ru-RU"/>
              </w:rPr>
              <w:t>60</w:t>
            </w:r>
            <w:r>
              <w:rPr>
                <w:rFonts w:hint="default" w:ascii="Times New Roman" w:hAnsi="Times New Roman" w:eastAsia="SimSun" w:cs="Times New Roman"/>
                <w:szCs w:val="28"/>
                <w:highlight w:val="none"/>
              </w:rPr>
              <w:t>00 человек</w:t>
            </w:r>
            <w:r>
              <w:rPr>
                <w:rFonts w:hint="default" w:ascii="Times New Roman" w:hAnsi="Times New Roman" w:eastAsia="SimSun" w:cs="Times New Roman"/>
                <w:szCs w:val="28"/>
                <w:highlight w:val="none"/>
                <w:lang w:val="ru-RU"/>
              </w:rPr>
              <w:t>;</w:t>
            </w:r>
          </w:p>
          <w:p w14:paraId="11118C63">
            <w:pPr>
              <w:keepNext w:val="0"/>
              <w:keepLines w:val="0"/>
              <w:widowControl/>
              <w:suppressLineNumbers w:val="0"/>
              <w:spacing w:line="240" w:lineRule="auto"/>
              <w:ind w:left="0" w:leftChars="0" w:firstLine="0" w:firstLineChars="0"/>
              <w:jc w:val="both"/>
              <w:rPr>
                <w:rFonts w:hint="default" w:ascii="Times New Roman" w:hAnsi="Times New Roman" w:eastAsia="SimSun" w:cs="Times New Roman"/>
                <w:color w:val="000000"/>
                <w:kern w:val="0"/>
                <w:sz w:val="28"/>
                <w:szCs w:val="28"/>
                <w:highlight w:val="none"/>
                <w:lang w:val="en-US" w:eastAsia="zh-CN" w:bidi="ar"/>
              </w:rPr>
            </w:pPr>
            <w:r>
              <w:rPr>
                <w:rFonts w:hint="default" w:ascii="Times New Roman" w:hAnsi="Times New Roman" w:eastAsia="SimSun" w:cs="Times New Roman"/>
                <w:color w:val="000000"/>
                <w:kern w:val="0"/>
                <w:sz w:val="28"/>
                <w:szCs w:val="28"/>
                <w:highlight w:val="none"/>
                <w:lang w:val="en-US" w:eastAsia="zh-CN" w:bidi="ar"/>
              </w:rPr>
              <w:t xml:space="preserve">Количество посещений организаций культуры по отношению к уровню 2017 года (в части посещений библиотек) </w:t>
            </w:r>
            <w:r>
              <w:rPr>
                <w:rFonts w:hint="default" w:ascii="Times New Roman" w:hAnsi="Times New Roman" w:cs="Times New Roman"/>
                <w:color w:val="000000"/>
                <w:kern w:val="0"/>
                <w:sz w:val="28"/>
                <w:szCs w:val="28"/>
                <w:highlight w:val="none"/>
                <w:lang w:val="ru-RU" w:eastAsia="zh-CN" w:bidi="ar"/>
              </w:rPr>
              <w:t xml:space="preserve">составит </w:t>
            </w:r>
            <w:r>
              <w:rPr>
                <w:rFonts w:hint="default" w:ascii="Times New Roman" w:hAnsi="Times New Roman" w:eastAsia="SimSun" w:cs="Times New Roman"/>
                <w:color w:val="000000"/>
                <w:kern w:val="0"/>
                <w:sz w:val="28"/>
                <w:szCs w:val="28"/>
                <w:highlight w:val="none"/>
                <w:lang w:val="en-US" w:eastAsia="zh-CN" w:bidi="ar"/>
              </w:rPr>
              <w:t>11</w:t>
            </w:r>
            <w:r>
              <w:rPr>
                <w:rFonts w:hint="default" w:ascii="Times New Roman" w:hAnsi="Times New Roman" w:cs="Times New Roman"/>
                <w:color w:val="000000"/>
                <w:kern w:val="0"/>
                <w:sz w:val="28"/>
                <w:szCs w:val="28"/>
                <w:highlight w:val="none"/>
                <w:lang w:val="ru-RU" w:eastAsia="zh-CN" w:bidi="ar"/>
              </w:rPr>
              <w:t>6</w:t>
            </w:r>
            <w:r>
              <w:rPr>
                <w:rFonts w:hint="default" w:ascii="Times New Roman" w:hAnsi="Times New Roman" w:eastAsia="SimSun" w:cs="Times New Roman"/>
                <w:color w:val="000000"/>
                <w:kern w:val="0"/>
                <w:sz w:val="28"/>
                <w:szCs w:val="28"/>
                <w:highlight w:val="none"/>
                <w:lang w:val="en-US" w:eastAsia="zh-CN" w:bidi="ar"/>
              </w:rPr>
              <w:t xml:space="preserve"> %.</w:t>
            </w:r>
          </w:p>
          <w:p w14:paraId="77CA4606">
            <w:pPr>
              <w:ind w:firstLine="0" w:firstLineChars="0"/>
              <w:jc w:val="left"/>
              <w:rPr>
                <w:rFonts w:eastAsia="SimSun"/>
                <w:sz w:val="28"/>
                <w:szCs w:val="28"/>
              </w:rPr>
            </w:pPr>
            <w:r>
              <w:rPr>
                <w:rFonts w:hint="default" w:ascii="Times New Roman" w:hAnsi="Times New Roman" w:cs="Times New Roman"/>
                <w:sz w:val="28"/>
                <w:szCs w:val="28"/>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 составит 68,6%.</w:t>
            </w:r>
          </w:p>
        </w:tc>
      </w:tr>
    </w:tbl>
    <w:p w14:paraId="530F34C4">
      <w:pPr>
        <w:rPr>
          <w:rFonts w:eastAsia="SimSun"/>
          <w:szCs w:val="28"/>
        </w:rPr>
      </w:pPr>
      <w:bookmarkStart w:id="0" w:name="Par991"/>
      <w:bookmarkEnd w:id="0"/>
    </w:p>
    <w:p w14:paraId="1D27CFF5">
      <w:pPr>
        <w:ind w:firstLine="0"/>
        <w:rPr>
          <w:b/>
          <w:szCs w:val="28"/>
        </w:rPr>
      </w:pPr>
      <w:r>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её развития</w:t>
      </w:r>
    </w:p>
    <w:p w14:paraId="126C316D">
      <w:pPr>
        <w:jc w:val="center"/>
        <w:rPr>
          <w:b/>
          <w:szCs w:val="28"/>
        </w:rPr>
      </w:pPr>
    </w:p>
    <w:p w14:paraId="06C78BFB">
      <w:pPr>
        <w:jc w:val="center"/>
        <w:rPr>
          <w:b/>
          <w:szCs w:val="28"/>
        </w:rPr>
      </w:pPr>
      <w:r>
        <w:rPr>
          <w:b/>
          <w:szCs w:val="28"/>
        </w:rPr>
        <w:t>Общая характеристика сферы культуры</w:t>
      </w:r>
    </w:p>
    <w:p w14:paraId="488CDDFE">
      <w:pPr>
        <w:rPr>
          <w:szCs w:val="28"/>
        </w:rPr>
      </w:pPr>
    </w:p>
    <w:p w14:paraId="2A27C616">
      <w:pPr>
        <w:rPr>
          <w:szCs w:val="28"/>
        </w:rPr>
      </w:pPr>
      <w:r>
        <w:rPr>
          <w:szCs w:val="28"/>
        </w:rPr>
        <w:t>Современное понимание роли и значения культуры в решении задачи повышения качества жизни населения определяет необходимость сохранения и развития единого культурного пространства на всей территории Лебяжского муниципального округа путём создания условий для организации досуга населения, права на свободу творчества и пользования услугами культуры, сохранения местных народных традиций.</w:t>
      </w:r>
    </w:p>
    <w:p w14:paraId="66DA939F">
      <w:pPr>
        <w:rPr>
          <w:szCs w:val="28"/>
        </w:rPr>
      </w:pPr>
      <w:r>
        <w:rPr>
          <w:szCs w:val="28"/>
        </w:rPr>
        <w:t>В настоящее время в муниципальном округе для решения вопросов культуры в достаточной степени развито взаимодействие учреждений культуры, органов местного самоуправления муниципального округа.</w:t>
      </w:r>
    </w:p>
    <w:p w14:paraId="42883470">
      <w:pPr>
        <w:rPr>
          <w:szCs w:val="28"/>
        </w:rPr>
      </w:pPr>
      <w:r>
        <w:rPr>
          <w:szCs w:val="28"/>
        </w:rPr>
        <w:t>Культурно</w:t>
      </w:r>
      <w:r>
        <w:rPr>
          <w:rFonts w:hint="default"/>
          <w:szCs w:val="28"/>
          <w:lang w:val="ru-RU"/>
        </w:rPr>
        <w:t xml:space="preserve"> </w:t>
      </w:r>
      <w:r>
        <w:rPr>
          <w:szCs w:val="28"/>
        </w:rPr>
        <w:t>-</w:t>
      </w:r>
      <w:r>
        <w:rPr>
          <w:rFonts w:hint="default"/>
          <w:szCs w:val="28"/>
          <w:lang w:val="ru-RU"/>
        </w:rPr>
        <w:t xml:space="preserve"> </w:t>
      </w:r>
      <w:r>
        <w:rPr>
          <w:szCs w:val="28"/>
        </w:rPr>
        <w:t xml:space="preserve">досуговое обслуживание населения осуществляют 11 учреждений, входящих в состав муниципального </w:t>
      </w:r>
      <w:r>
        <w:rPr>
          <w:szCs w:val="28"/>
          <w:lang w:val="ru-RU"/>
        </w:rPr>
        <w:t>казённого</w:t>
      </w:r>
      <w:r>
        <w:rPr>
          <w:szCs w:val="28"/>
        </w:rPr>
        <w:t xml:space="preserve"> учреждения «Централизованная клубная система» Лебяжского муниципального округа (далее – ЦКС). Ежегодно культурно</w:t>
      </w:r>
      <w:r>
        <w:rPr>
          <w:rFonts w:hint="default"/>
          <w:szCs w:val="28"/>
          <w:lang w:val="ru-RU"/>
        </w:rPr>
        <w:t xml:space="preserve"> </w:t>
      </w:r>
      <w:r>
        <w:rPr>
          <w:szCs w:val="28"/>
        </w:rPr>
        <w:t>-</w:t>
      </w:r>
      <w:r>
        <w:rPr>
          <w:rFonts w:hint="default"/>
          <w:szCs w:val="28"/>
          <w:lang w:val="ru-RU"/>
        </w:rPr>
        <w:t xml:space="preserve"> </w:t>
      </w:r>
      <w:r>
        <w:rPr>
          <w:szCs w:val="28"/>
        </w:rPr>
        <w:t xml:space="preserve">досуговые учреждения проводят более 800 мероприятий, из них на платной основе более 200. В 2020 году было проведено для населения 322 мероприятия, в которых приняло участие 11 911 человек. Работают бесплатные клубные формирования по развитию народного творчества, художественной самодеятельности. </w:t>
      </w:r>
    </w:p>
    <w:p w14:paraId="62DFC6C1">
      <w:pPr>
        <w:rPr>
          <w:szCs w:val="28"/>
        </w:rPr>
      </w:pPr>
      <w:r>
        <w:rPr>
          <w:szCs w:val="28"/>
        </w:rPr>
        <w:t>Библиотечное обслуживание ведут 11 библиотек  муниципального казенного учреждения Лебяжская «Межпоселенческая централизованная библиотечная система», пользователями которых стабильно являются не менее 4800 человек. За 2020 год количество посещений составило 36 340. Всего три библиотеки округа имеют компьютеры и  интернет. Для повышения интереса к литературе и пропаганде чтения среди населения округа библиотеки проводят большое количество литературных, краеведческих и других мероприятий.</w:t>
      </w:r>
    </w:p>
    <w:p w14:paraId="52C16D34">
      <w:pPr>
        <w:rPr>
          <w:szCs w:val="28"/>
        </w:rPr>
      </w:pPr>
      <w:r>
        <w:rPr>
          <w:szCs w:val="28"/>
        </w:rPr>
        <w:t>На уровне округа действует муниципальное казенное учреждение Лебяжский краеведческий музей, который ведёт целенаправленную работу по сохранению историко-культурного наследия округа. В фондах музея 1117 экспонатов. Работниками музея проводятся ежегодно более трёхсот экскурсий и  массовых мероприятий с числом участников более 4200 человек. В 2020 году работниками музея было обслужено 3702 человека, организовано 20 выставочных проектов.</w:t>
      </w:r>
    </w:p>
    <w:p w14:paraId="77AF35EE">
      <w:pPr>
        <w:rPr>
          <w:szCs w:val="28"/>
        </w:rPr>
      </w:pPr>
      <w:r>
        <w:rPr>
          <w:szCs w:val="28"/>
        </w:rPr>
        <w:t xml:space="preserve">В округе действует одна школа дополнительного образования в сфере культуры. В 2020 году в  школе обучалось 78 человек на </w:t>
      </w:r>
      <w:r>
        <w:rPr>
          <w:szCs w:val="28"/>
          <w:lang w:val="ru-RU"/>
        </w:rPr>
        <w:t>четырёх</w:t>
      </w:r>
      <w:r>
        <w:rPr>
          <w:szCs w:val="28"/>
        </w:rPr>
        <w:t xml:space="preserve"> отделениях. Ежегодно учащиеся школы принимают участие во Всероссийских, межрайонных конкурсах, где достойно представляют муниципальный округ и становятся лауреатами и дипломантами различных категорий.</w:t>
      </w:r>
    </w:p>
    <w:p w14:paraId="042EDEDD">
      <w:pPr>
        <w:jc w:val="center"/>
        <w:rPr>
          <w:b/>
          <w:szCs w:val="28"/>
        </w:rPr>
      </w:pPr>
      <w:r>
        <w:rPr>
          <w:b/>
          <w:szCs w:val="28"/>
        </w:rPr>
        <w:t>Основные проблемы развития культуры:</w:t>
      </w:r>
    </w:p>
    <w:p w14:paraId="1197DBC5">
      <w:pPr>
        <w:rPr>
          <w:szCs w:val="28"/>
        </w:rPr>
      </w:pPr>
      <w:r>
        <w:rPr>
          <w:szCs w:val="28"/>
        </w:rPr>
        <w:t>В настоящее время уровень внешнего и внутреннего содержания учреждений культуры не в полной мере соответствует современным требованиям.</w:t>
      </w:r>
    </w:p>
    <w:p w14:paraId="5CD1CACB">
      <w:pPr>
        <w:rPr>
          <w:szCs w:val="28"/>
        </w:rPr>
      </w:pPr>
      <w:r>
        <w:rPr>
          <w:szCs w:val="28"/>
        </w:rPr>
        <w:t xml:space="preserve">Одной из острых проблем отрасли является слабая материально-техническая база.  Именно от её состояния в большей степени зависит объем и качество оказываемых услуг. Анализ материально-технической базы показал необходимость в большинстве из них проведения капитальных и текущих ремонтов зданий и помещений. </w:t>
      </w:r>
    </w:p>
    <w:p w14:paraId="1AAF4C8F">
      <w:pPr>
        <w:rPr>
          <w:szCs w:val="28"/>
        </w:rPr>
      </w:pPr>
      <w:r>
        <w:rPr>
          <w:szCs w:val="28"/>
        </w:rPr>
        <w:t>Культурно-досуговым учреждениям необходимо современная звукоусилительная и звукозаписывающая аппаратура, светотехническое и музыкальное оборудование. Недостаточно финансируется участие творческих коллективов в окружных, областных, зональных и всероссийских конкурсах и фестивалях, что не способствует развитию творческого потенциала муниципального округа.</w:t>
      </w:r>
    </w:p>
    <w:p w14:paraId="589FDC84">
      <w:pPr>
        <w:rPr>
          <w:szCs w:val="28"/>
        </w:rPr>
      </w:pPr>
      <w:r>
        <w:rPr>
          <w:szCs w:val="28"/>
        </w:rPr>
        <w:t>Продолжает оставаться достаточно острой ситуация с обновлением фондов и информатизации библиотек. Решение данной проблемы предполагает пополнение библиотечных фондов, внедрение новых библиотечных технологий и информационного взаимодействия библиотек, компьютеризацию библиотечной сети.</w:t>
      </w:r>
    </w:p>
    <w:p w14:paraId="656E76E9">
      <w:pPr>
        <w:rPr>
          <w:szCs w:val="28"/>
        </w:rPr>
      </w:pPr>
      <w:r>
        <w:rPr>
          <w:szCs w:val="28"/>
        </w:rPr>
        <w:t>Проблемными остаются вопросы безопасности музея и сохранности музейных фондов, обеспечение современным оборудованием для хранения и экспонирования коллекций музея, информатизации музейной деятельности. Остаётся значимым вопрос по принятию мер капитального ремонта здания Лебяжского краеведческого музея.</w:t>
      </w:r>
    </w:p>
    <w:p w14:paraId="48EF4CA1">
      <w:pPr>
        <w:rPr>
          <w:szCs w:val="28"/>
        </w:rPr>
      </w:pPr>
      <w:r>
        <w:rPr>
          <w:szCs w:val="28"/>
        </w:rPr>
        <w:t>Необходимо пополнение и обновление музыкальных инструментов в школе искусств и оснащение современной мебелью, оргтехникой и компьютерами классов.</w:t>
      </w:r>
    </w:p>
    <w:p w14:paraId="22282055">
      <w:pPr>
        <w:rPr>
          <w:szCs w:val="28"/>
        </w:rPr>
      </w:pPr>
      <w:r>
        <w:rPr>
          <w:szCs w:val="28"/>
        </w:rPr>
        <w:t>Одной из насущных проблем отрасли является недостаток квалифицированных кадров. По причине падения престижа профессии, специфики работы в сфере культуры нет притока молодых профессиональных кадров. Без решения кадровых проблем работа всей отрасли не может считаться успешной.</w:t>
      </w:r>
    </w:p>
    <w:p w14:paraId="354FA278">
      <w:pPr>
        <w:rPr>
          <w:szCs w:val="28"/>
        </w:rPr>
      </w:pPr>
      <w:r>
        <w:rPr>
          <w:szCs w:val="28"/>
        </w:rPr>
        <w:t>В условиях рыночных отношений и демократизации общества накопленный потенциал культуры требует с одной стороны - дальнейшей последовательности укрепления и развития, с другой – реформирования и преобразований.</w:t>
      </w:r>
    </w:p>
    <w:p w14:paraId="292FDB3A">
      <w:pPr>
        <w:rPr>
          <w:b/>
          <w:szCs w:val="28"/>
        </w:rPr>
      </w:pPr>
      <w:r>
        <w:rPr>
          <w:szCs w:val="28"/>
        </w:rPr>
        <w:t>Анализ состояния отрасли и выше обозначенные проблемы указывают на то, что процесс развития культуры муниципального округа, как один из факторов влияющий на социально</w:t>
      </w:r>
      <w:r>
        <w:rPr>
          <w:rFonts w:hint="default"/>
          <w:szCs w:val="28"/>
          <w:lang w:val="ru-RU"/>
        </w:rPr>
        <w:t xml:space="preserve"> </w:t>
      </w:r>
      <w:r>
        <w:rPr>
          <w:szCs w:val="28"/>
        </w:rPr>
        <w:t>- экономическое развитие Лебяжского муниципального округа не в полной мере отвечает современным требованиям, что в некоторой степени влияет на качество предоставляемых услуг в области культуры. Накопившиеся за прошлые годы проблемы значительно превышают возможности по их решению. Тесная взаимосвязь происходящих процессов в сфере культуры с процессами, происходящими в обществе, указывают на то, что решение обозначенных проблем возможно осуществить только программно-целевым методом, который даёт возможность прогнозировать и оценивать результаты работы, эффективно использовать финансовые ресурсы и координировать деятельность всех учреждений культуры.</w:t>
      </w:r>
    </w:p>
    <w:p w14:paraId="49714B93">
      <w:pPr>
        <w:rPr>
          <w:szCs w:val="28"/>
        </w:rPr>
      </w:pPr>
    </w:p>
    <w:p w14:paraId="3C61E650">
      <w:pPr>
        <w:jc w:val="center"/>
        <w:rPr>
          <w:b/>
          <w:szCs w:val="28"/>
        </w:rPr>
      </w:pPr>
      <w:r>
        <w:rPr>
          <w:b/>
          <w:szCs w:val="28"/>
        </w:rPr>
        <w:t>Общая характеристика сферы туризма</w:t>
      </w:r>
    </w:p>
    <w:p w14:paraId="5C5A8124">
      <w:pPr>
        <w:rPr>
          <w:szCs w:val="28"/>
        </w:rPr>
      </w:pPr>
      <w:r>
        <w:rPr>
          <w:szCs w:val="28"/>
        </w:rPr>
        <w:t xml:space="preserve">Сферу внутреннего и въездного туризма в муниципальном округе представляют Центр туризма и отдыха «Лебяжские горки», входящий в состав ЦКС (далее – Центр туризма) и муниципальное </w:t>
      </w:r>
      <w:r>
        <w:rPr>
          <w:szCs w:val="28"/>
          <w:lang w:val="ru-RU"/>
        </w:rPr>
        <w:t>казённое</w:t>
      </w:r>
      <w:r>
        <w:rPr>
          <w:szCs w:val="28"/>
        </w:rPr>
        <w:t xml:space="preserve"> учреждение Лебяжский краеведческий музей (далее – Музей).</w:t>
      </w:r>
    </w:p>
    <w:p w14:paraId="67C3A742">
      <w:pPr>
        <w:rPr>
          <w:szCs w:val="28"/>
        </w:rPr>
      </w:pPr>
      <w:r>
        <w:rPr>
          <w:szCs w:val="28"/>
        </w:rPr>
        <w:t>Центр туризма предоставляет услуги по зимним видам отдыха: катание на тюбингах, горных лыжах, сноубордах, лыжах и летним – экскурсии и походы по достопримечательностям Лебяжского муниципального округа. Пользователями услуг ежегодно являются более 2000 чел. Также проводятся массовые мероприятия.</w:t>
      </w:r>
    </w:p>
    <w:p w14:paraId="2F93FB97">
      <w:pPr>
        <w:rPr>
          <w:szCs w:val="28"/>
        </w:rPr>
      </w:pPr>
      <w:r>
        <w:rPr>
          <w:szCs w:val="28"/>
        </w:rPr>
        <w:t>Музей предоставляет экскурсионные услуги и услуги выставок.</w:t>
      </w:r>
    </w:p>
    <w:p w14:paraId="4125AD52">
      <w:pPr>
        <w:rPr>
          <w:szCs w:val="28"/>
        </w:rPr>
      </w:pPr>
      <w:r>
        <w:rPr>
          <w:szCs w:val="28"/>
        </w:rPr>
        <w:t>Природный и исторический потенциал Лебяжского муниципального округа также благоприятен для оказания туристских услуг. На территории муниципального округа находятся четыре памятника природы регионального значения: «Поющие пески» у бывшего села Атары, «Ручей с карстовым гротом в обнажении известкового туфа», источник у деревни Соль-Грязь и озеро Подборное. Одна достопримечательностей пгт. Лебяжье является Лебяжское Городище - памятник археологии федерального значения, который входит в маршрут экскурсии «Прогулки по Лебяжью».</w:t>
      </w:r>
    </w:p>
    <w:p w14:paraId="797F7834">
      <w:pPr>
        <w:rPr>
          <w:szCs w:val="28"/>
        </w:rPr>
      </w:pPr>
      <w:r>
        <w:rPr>
          <w:szCs w:val="28"/>
        </w:rPr>
        <w:t>По статистическим данным Центра туризма в 2020 г. Лебяжский муниципальный округ посетили более 276 туристов.</w:t>
      </w:r>
    </w:p>
    <w:p w14:paraId="3DE441E6">
      <w:pPr>
        <w:rPr>
          <w:szCs w:val="28"/>
        </w:rPr>
      </w:pPr>
      <w:r>
        <w:rPr>
          <w:szCs w:val="28"/>
        </w:rPr>
        <w:t>Район путешествий, охватывающих территорию Лебяжского и соседних с ним районов, в туристском отношении обладает достаточным туристским ресурсом.</w:t>
      </w:r>
    </w:p>
    <w:p w14:paraId="6F355E9C">
      <w:pPr>
        <w:rPr>
          <w:b/>
          <w:szCs w:val="28"/>
        </w:rPr>
      </w:pPr>
      <w:r>
        <w:rPr>
          <w:b/>
          <w:szCs w:val="28"/>
        </w:rPr>
        <w:t>Основные проблемы развития туризма</w:t>
      </w:r>
    </w:p>
    <w:p w14:paraId="7BDFFE9A">
      <w:pPr>
        <w:rPr>
          <w:szCs w:val="28"/>
        </w:rPr>
      </w:pPr>
      <w:r>
        <w:rPr>
          <w:szCs w:val="28"/>
        </w:rPr>
        <w:t>К проблемам развития туристской отрасли на территории Лебяжского муниципального округа следует отнести:</w:t>
      </w:r>
    </w:p>
    <w:p w14:paraId="2A5E8F29">
      <w:pPr>
        <w:rPr>
          <w:szCs w:val="28"/>
        </w:rPr>
      </w:pPr>
      <w:r>
        <w:rPr>
          <w:szCs w:val="28"/>
        </w:rPr>
        <w:t xml:space="preserve">-  слабо развитая инфраструктура туризма: отсутствие привлекательных для современных туристов спортивных и развлекательных объектов, а также современных средств размещения; </w:t>
      </w:r>
    </w:p>
    <w:p w14:paraId="2943F6D5">
      <w:pPr>
        <w:rPr>
          <w:szCs w:val="28"/>
        </w:rPr>
      </w:pPr>
      <w:r>
        <w:rPr>
          <w:szCs w:val="28"/>
        </w:rPr>
        <w:t xml:space="preserve">- не благоустроены территории памятников для привлечения туристов; </w:t>
      </w:r>
    </w:p>
    <w:p w14:paraId="7E00733B">
      <w:pPr>
        <w:rPr>
          <w:szCs w:val="28"/>
        </w:rPr>
      </w:pPr>
      <w:r>
        <w:rPr>
          <w:szCs w:val="28"/>
        </w:rPr>
        <w:t>- недостаточное финансирование.</w:t>
      </w:r>
    </w:p>
    <w:p w14:paraId="75A75703">
      <w:pPr>
        <w:rPr>
          <w:b/>
          <w:szCs w:val="28"/>
        </w:rPr>
      </w:pPr>
      <w:r>
        <w:rPr>
          <w:b/>
          <w:szCs w:val="28"/>
        </w:rPr>
        <w:t>Прогноз развития культуры и туризма</w:t>
      </w:r>
    </w:p>
    <w:p w14:paraId="349F59D5">
      <w:pPr>
        <w:rPr>
          <w:szCs w:val="28"/>
        </w:rPr>
      </w:pPr>
      <w:r>
        <w:rPr>
          <w:szCs w:val="28"/>
        </w:rPr>
        <w:t>Реализация комплексного подхода к решению существующих в сфере культуры и туризма проблем позволит:</w:t>
      </w:r>
    </w:p>
    <w:p w14:paraId="497CECEF">
      <w:pPr>
        <w:rPr>
          <w:szCs w:val="28"/>
        </w:rPr>
      </w:pPr>
      <w:r>
        <w:rPr>
          <w:szCs w:val="28"/>
        </w:rPr>
        <w:t>- создать условия для обеспечения равного доступа к культурным ценностям;</w:t>
      </w:r>
    </w:p>
    <w:p w14:paraId="28177A6B">
      <w:pPr>
        <w:rPr>
          <w:szCs w:val="28"/>
        </w:rPr>
      </w:pPr>
      <w:r>
        <w:rPr>
          <w:szCs w:val="28"/>
        </w:rPr>
        <w:t>- улучшить материально-техническую базу учреждений;</w:t>
      </w:r>
    </w:p>
    <w:p w14:paraId="12518566">
      <w:pPr>
        <w:rPr>
          <w:szCs w:val="28"/>
        </w:rPr>
      </w:pPr>
      <w:r>
        <w:rPr>
          <w:szCs w:val="28"/>
        </w:rPr>
        <w:t>- раскрыть творческий потенциал талантливых жителей муниципального округа;</w:t>
      </w:r>
    </w:p>
    <w:p w14:paraId="097AB0D2">
      <w:pPr>
        <w:rPr>
          <w:szCs w:val="28"/>
        </w:rPr>
      </w:pPr>
      <w:r>
        <w:rPr>
          <w:szCs w:val="28"/>
        </w:rPr>
        <w:t>- не допустить утраты богатого историко-культурного наследия муниципального округа;</w:t>
      </w:r>
    </w:p>
    <w:p w14:paraId="2F245797">
      <w:pPr>
        <w:rPr>
          <w:spacing w:val="-4"/>
          <w:szCs w:val="28"/>
        </w:rPr>
      </w:pPr>
      <w:r>
        <w:rPr>
          <w:szCs w:val="28"/>
        </w:rPr>
        <w:t>- увеличить рост темпов развития культуры и туризма как одного из ключевых институтов развития общества.</w:t>
      </w:r>
    </w:p>
    <w:p w14:paraId="6EDF6315">
      <w:pPr>
        <w:rPr>
          <w:color w:val="000000"/>
          <w:spacing w:val="-4"/>
          <w:szCs w:val="28"/>
        </w:rPr>
      </w:pPr>
      <w:r>
        <w:rPr>
          <w:szCs w:val="28"/>
        </w:rPr>
        <w:t>Муниципальная программа «Развитие культуры и туризма в Лебяжском муниципальном округе на 2022 -202</w:t>
      </w:r>
      <w:r>
        <w:rPr>
          <w:rFonts w:hint="default"/>
          <w:szCs w:val="28"/>
          <w:lang w:val="ru-RU"/>
        </w:rPr>
        <w:t>8</w:t>
      </w:r>
      <w:r>
        <w:rPr>
          <w:szCs w:val="28"/>
        </w:rPr>
        <w:t xml:space="preserve"> годы» (далее – Программа) призвана решить  актуальные для муниципального округа проблемы в сфере культуры и туризма. </w:t>
      </w:r>
    </w:p>
    <w:p w14:paraId="75ACC8F2">
      <w:pPr>
        <w:rPr>
          <w:szCs w:val="28"/>
        </w:rPr>
      </w:pPr>
    </w:p>
    <w:p w14:paraId="6AA3AEBD">
      <w:pPr>
        <w:jc w:val="center"/>
        <w:rPr>
          <w:b/>
          <w:szCs w:val="28"/>
        </w:rPr>
      </w:pPr>
      <w:r>
        <w:rPr>
          <w:b/>
          <w:szCs w:val="28"/>
        </w:rPr>
        <w:t>2. Приоритеты муниципальной политики  в сфере реализации муниципальной программы, цели, задачи, целевые показатели эффективности реализации муниципальной программы, описание ожидаемых конечных результатов программы, сроков и этапов реализации муниципальной программы</w:t>
      </w:r>
    </w:p>
    <w:p w14:paraId="2AD5796A">
      <w:pPr>
        <w:rPr>
          <w:b/>
          <w:szCs w:val="28"/>
        </w:rPr>
      </w:pPr>
    </w:p>
    <w:p w14:paraId="62B562CE">
      <w:pPr>
        <w:rPr>
          <w:szCs w:val="28"/>
        </w:rPr>
      </w:pPr>
      <w:r>
        <w:rPr>
          <w:szCs w:val="28"/>
        </w:rPr>
        <w:t xml:space="preserve">Для решения существующих проблем необходимо создать социально-экономические условия для развития культуры и туризма в муниципальном округе. Задачи Программы соответствуют Стратегии социально-экономического развития Кировской области на период до 2020 года, </w:t>
      </w:r>
      <w:r>
        <w:rPr>
          <w:szCs w:val="28"/>
          <w:lang w:val="ru-RU"/>
        </w:rPr>
        <w:t>утверждённой</w:t>
      </w:r>
      <w:r>
        <w:rPr>
          <w:szCs w:val="28"/>
        </w:rPr>
        <w:t xml:space="preserve"> постановлением Законодательного собрания Кировской области от 25.09.2008 № 28/194. </w:t>
      </w:r>
    </w:p>
    <w:p w14:paraId="23B98689">
      <w:pPr>
        <w:rPr>
          <w:szCs w:val="28"/>
        </w:rPr>
      </w:pPr>
      <w:r>
        <w:rPr>
          <w:szCs w:val="28"/>
        </w:rPr>
        <w:t xml:space="preserve">Актуальность Программы, </w:t>
      </w:r>
      <w:r>
        <w:rPr>
          <w:szCs w:val="28"/>
          <w:lang w:val="ru-RU"/>
        </w:rPr>
        <w:t>её</w:t>
      </w:r>
      <w:r>
        <w:rPr>
          <w:szCs w:val="28"/>
        </w:rPr>
        <w:t xml:space="preserve"> цели и задачи определяются исходя из приоритетов, </w:t>
      </w:r>
      <w:r>
        <w:rPr>
          <w:szCs w:val="28"/>
          <w:lang w:val="ru-RU"/>
        </w:rPr>
        <w:t>определённых</w:t>
      </w:r>
      <w:r>
        <w:rPr>
          <w:szCs w:val="28"/>
        </w:rPr>
        <w:t xml:space="preserve"> федеральными органами исполнительной власти и Правительством Кировской области в сфере культуры и туризма. </w:t>
      </w:r>
    </w:p>
    <w:p w14:paraId="2A1DD5A7">
      <w:pPr>
        <w:rPr>
          <w:szCs w:val="28"/>
        </w:rPr>
      </w:pPr>
      <w:r>
        <w:rPr>
          <w:szCs w:val="28"/>
        </w:rPr>
        <w:t>Приоритеты государственной политики в сферах культуры и туризма установлены следующими документами и нормативными правовыми актами Российской Федерации:</w:t>
      </w:r>
    </w:p>
    <w:p w14:paraId="3AB4296C">
      <w:pPr>
        <w:ind w:firstLine="0"/>
        <w:rPr>
          <w:szCs w:val="28"/>
        </w:rPr>
      </w:pPr>
      <w:r>
        <w:rPr>
          <w:szCs w:val="28"/>
        </w:rPr>
        <w:t>Закон Российской Федерации от 09 октября 1992г. № 3612-1 «Основы законодательства Российской Федерации о  культуре»;</w:t>
      </w:r>
    </w:p>
    <w:p w14:paraId="0C010C82">
      <w:pPr>
        <w:ind w:firstLine="0"/>
        <w:rPr>
          <w:szCs w:val="28"/>
        </w:rPr>
      </w:pPr>
      <w:r>
        <w:rPr>
          <w:szCs w:val="28"/>
        </w:rPr>
        <w:t>Федеральный  закон «Об основах туристской деятельности в Российской Федерации» от 24 ноября 1996 г. № 132-ФЗ;</w:t>
      </w:r>
    </w:p>
    <w:p w14:paraId="409FE3AD">
      <w:pPr>
        <w:ind w:firstLine="0"/>
        <w:rPr>
          <w:szCs w:val="28"/>
        </w:rPr>
      </w:pPr>
      <w:r>
        <w:rPr>
          <w:szCs w:val="28"/>
        </w:rPr>
        <w:t>Указы и поручения Президента Российской Федерации в сферах культуры и туризма;</w:t>
      </w:r>
    </w:p>
    <w:p w14:paraId="4B8EAC32">
      <w:pPr>
        <w:ind w:firstLine="0"/>
        <w:rPr>
          <w:szCs w:val="28"/>
        </w:rPr>
      </w:pPr>
      <w:r>
        <w:rPr>
          <w:szCs w:val="28"/>
          <w:lang w:eastAsia="en-US"/>
        </w:rPr>
        <w:t xml:space="preserve">Постановление Правительства </w:t>
      </w:r>
      <w:r>
        <w:rPr>
          <w:szCs w:val="28"/>
        </w:rPr>
        <w:t>Кировской области от 30.12.2019  № 746-П   «Об утверждении государственной программы Кировской области «Развитие культуры».</w:t>
      </w:r>
    </w:p>
    <w:p w14:paraId="320A6844">
      <w:pPr>
        <w:rPr>
          <w:szCs w:val="28"/>
        </w:rPr>
      </w:pPr>
      <w:r>
        <w:rPr>
          <w:szCs w:val="28"/>
        </w:rPr>
        <w:t>Реализация программы будет осуществляться в соответствии со следующими основными приоритетами:</w:t>
      </w:r>
    </w:p>
    <w:p w14:paraId="44618620">
      <w:pPr>
        <w:ind w:firstLine="0"/>
        <w:rPr>
          <w:szCs w:val="28"/>
        </w:rPr>
      </w:pPr>
      <w:r>
        <w:rPr>
          <w:szCs w:val="28"/>
        </w:rPr>
        <w:t>- укрепление материально-технической базы культуры и туризма;</w:t>
      </w:r>
    </w:p>
    <w:p w14:paraId="61D16473">
      <w:pPr>
        <w:ind w:firstLine="0"/>
        <w:rPr>
          <w:szCs w:val="28"/>
        </w:rPr>
      </w:pPr>
      <w:r>
        <w:rPr>
          <w:szCs w:val="28"/>
        </w:rPr>
        <w:t>- повышение социального статуса работников культуры;</w:t>
      </w:r>
    </w:p>
    <w:p w14:paraId="746D2501">
      <w:pPr>
        <w:ind w:firstLine="0"/>
        <w:rPr>
          <w:szCs w:val="28"/>
        </w:rPr>
      </w:pPr>
      <w:r>
        <w:rPr>
          <w:szCs w:val="28"/>
        </w:rPr>
        <w:t>- поддержка и развитие внутреннего и въездного туризма</w:t>
      </w:r>
    </w:p>
    <w:p w14:paraId="11BEE465">
      <w:pPr>
        <w:rPr>
          <w:szCs w:val="28"/>
        </w:rPr>
      </w:pPr>
    </w:p>
    <w:p w14:paraId="4C9733A4">
      <w:pPr>
        <w:rPr>
          <w:i/>
          <w:color w:val="000000"/>
          <w:szCs w:val="28"/>
        </w:rPr>
      </w:pPr>
      <w:r>
        <w:rPr>
          <w:i/>
          <w:color w:val="000000"/>
          <w:szCs w:val="28"/>
        </w:rPr>
        <w:t>Цель муниципальной программы:</w:t>
      </w:r>
    </w:p>
    <w:p w14:paraId="35C05DDC">
      <w:pPr>
        <w:ind w:firstLine="0"/>
        <w:rPr>
          <w:szCs w:val="28"/>
        </w:rPr>
      </w:pPr>
      <w:r>
        <w:rPr>
          <w:color w:val="000000"/>
          <w:szCs w:val="28"/>
        </w:rPr>
        <w:t>создание социально-экономических условий для развития культуры и туризма на территории Лебяжского муниципального округа.</w:t>
      </w:r>
    </w:p>
    <w:p w14:paraId="6459E2F6">
      <w:pPr>
        <w:rPr>
          <w:szCs w:val="28"/>
        </w:rPr>
      </w:pPr>
      <w:r>
        <w:rPr>
          <w:szCs w:val="28"/>
        </w:rPr>
        <w:t xml:space="preserve">Для достижения указанной цели должны быть решены следующие </w:t>
      </w:r>
      <w:r>
        <w:rPr>
          <w:i/>
          <w:szCs w:val="28"/>
        </w:rPr>
        <w:t>задачи</w:t>
      </w:r>
      <w:r>
        <w:rPr>
          <w:szCs w:val="28"/>
        </w:rPr>
        <w:t>:</w:t>
      </w:r>
    </w:p>
    <w:p w14:paraId="67BAA931">
      <w:pPr>
        <w:ind w:firstLine="0"/>
        <w:jc w:val="left"/>
        <w:rPr>
          <w:szCs w:val="28"/>
        </w:rPr>
      </w:pPr>
      <w:r>
        <w:rPr>
          <w:szCs w:val="28"/>
        </w:rPr>
        <w:t>- развитие библиотечного дела и организация библиотечного обслуживания населения;</w:t>
      </w:r>
    </w:p>
    <w:p w14:paraId="7773C42D">
      <w:pPr>
        <w:ind w:firstLine="0"/>
        <w:jc w:val="left"/>
        <w:rPr>
          <w:szCs w:val="28"/>
        </w:rPr>
      </w:pPr>
      <w:r>
        <w:rPr>
          <w:szCs w:val="28"/>
        </w:rPr>
        <w:t>- организация и поддержка деятельности музея и обеспечение сохранности музейного фонда;</w:t>
      </w:r>
    </w:p>
    <w:p w14:paraId="6F0F2CE4">
      <w:pPr>
        <w:ind w:firstLine="0"/>
        <w:jc w:val="left"/>
        <w:rPr>
          <w:szCs w:val="28"/>
        </w:rPr>
      </w:pPr>
      <w:r>
        <w:rPr>
          <w:szCs w:val="28"/>
        </w:rPr>
        <w:t>- обеспечение условий для совершенствования качества и доступности оказания услуг в области дополнительного образования детей в сфере культуры;</w:t>
      </w:r>
    </w:p>
    <w:p w14:paraId="25751881">
      <w:pPr>
        <w:ind w:firstLine="0"/>
        <w:jc w:val="left"/>
        <w:rPr>
          <w:szCs w:val="28"/>
        </w:rPr>
      </w:pPr>
      <w:r>
        <w:rPr>
          <w:szCs w:val="28"/>
        </w:rPr>
        <w:t>- стимулирование развития культурно-досуговой деятельности и народного творчества на территории Лебяжского муниципального округа;</w:t>
      </w:r>
    </w:p>
    <w:p w14:paraId="533EB1CB">
      <w:pPr>
        <w:ind w:firstLine="0"/>
        <w:jc w:val="left"/>
        <w:rPr>
          <w:szCs w:val="28"/>
        </w:rPr>
      </w:pPr>
      <w:r>
        <w:rPr>
          <w:szCs w:val="28"/>
        </w:rPr>
        <w:t>- повышение качества и доступности услуг в сфере внутреннего и въездного туризма;</w:t>
      </w:r>
    </w:p>
    <w:p w14:paraId="5FE13D4B">
      <w:pPr>
        <w:ind w:firstLine="0"/>
        <w:jc w:val="left"/>
        <w:rPr>
          <w:szCs w:val="28"/>
        </w:rPr>
      </w:pPr>
      <w:r>
        <w:rPr>
          <w:szCs w:val="28"/>
        </w:rPr>
        <w:t>- осуществление финансового обеспечения деятельности учреждений культуры Лебяжского муниципального округа;</w:t>
      </w:r>
    </w:p>
    <w:p w14:paraId="0F0BFE54">
      <w:pPr>
        <w:ind w:firstLine="0"/>
        <w:jc w:val="left"/>
        <w:rPr>
          <w:szCs w:val="28"/>
        </w:rPr>
      </w:pPr>
      <w:r>
        <w:rPr>
          <w:szCs w:val="28"/>
        </w:rPr>
        <w:t>- обновление   специального   оборудования учреждений культуры Лебяжского муниципального округа;</w:t>
      </w:r>
    </w:p>
    <w:p w14:paraId="387A633F">
      <w:pPr>
        <w:ind w:firstLine="0"/>
        <w:jc w:val="left"/>
        <w:rPr>
          <w:szCs w:val="28"/>
        </w:rPr>
      </w:pPr>
      <w:r>
        <w:rPr>
          <w:szCs w:val="28"/>
        </w:rPr>
        <w:t>- капитальный и текущий ремонт учреждений культуры;</w:t>
      </w:r>
    </w:p>
    <w:p w14:paraId="72612028">
      <w:pPr>
        <w:ind w:firstLine="0"/>
        <w:jc w:val="left"/>
        <w:rPr>
          <w:szCs w:val="28"/>
        </w:rPr>
      </w:pPr>
      <w:r>
        <w:rPr>
          <w:szCs w:val="28"/>
        </w:rPr>
        <w:t>- реализация основных направлений муниципальной политики в сфере культуры на территории Лебяжского муниципального округа.</w:t>
      </w:r>
    </w:p>
    <w:p w14:paraId="48ACE797">
      <w:pPr>
        <w:rPr>
          <w:i/>
          <w:szCs w:val="28"/>
        </w:rPr>
      </w:pPr>
    </w:p>
    <w:p w14:paraId="288BF8C9">
      <w:pPr>
        <w:rPr>
          <w:szCs w:val="28"/>
        </w:rPr>
      </w:pPr>
      <w:r>
        <w:rPr>
          <w:i/>
          <w:szCs w:val="28"/>
        </w:rPr>
        <w:t>Целевыми показателями</w:t>
      </w:r>
      <w:r>
        <w:rPr>
          <w:szCs w:val="28"/>
        </w:rPr>
        <w:t xml:space="preserve"> эффективности реализации муниципальной программы будут являться:</w:t>
      </w:r>
    </w:p>
    <w:p w14:paraId="7D4D66F3">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Увеличение количества посещений организаций культуры по отношению к уровню 2020 г.;</w:t>
      </w:r>
    </w:p>
    <w:p w14:paraId="5D3826F6">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Рост посещений библиотек на 1 жителя в год;</w:t>
      </w:r>
    </w:p>
    <w:p w14:paraId="5F89F109">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Темп роста численности участников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массовых мероприятий, проводимых учреждениями культурно</w:t>
      </w:r>
      <w:r>
        <w:rPr>
          <w:rFonts w:hint="default" w:eastAsia="SimSun"/>
          <w:sz w:val="28"/>
          <w:szCs w:val="28"/>
          <w:lang w:val="ru-RU"/>
        </w:rPr>
        <w:t xml:space="preserve"> </w:t>
      </w:r>
      <w:r>
        <w:rPr>
          <w:rFonts w:eastAsia="SimSun"/>
          <w:sz w:val="28"/>
          <w:szCs w:val="28"/>
        </w:rPr>
        <w:t>-</w:t>
      </w:r>
      <w:r>
        <w:rPr>
          <w:rFonts w:hint="default" w:eastAsia="SimSun"/>
          <w:sz w:val="28"/>
          <w:szCs w:val="28"/>
          <w:lang w:val="ru-RU"/>
        </w:rPr>
        <w:t xml:space="preserve"> </w:t>
      </w:r>
      <w:r>
        <w:rPr>
          <w:rFonts w:eastAsia="SimSun"/>
          <w:sz w:val="28"/>
          <w:szCs w:val="28"/>
        </w:rPr>
        <w:t>досугового типа к предыдущему году;</w:t>
      </w:r>
    </w:p>
    <w:p w14:paraId="05A3723E">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Посещаемость музея (на 1000 человек);</w:t>
      </w:r>
    </w:p>
    <w:p w14:paraId="2FFE9126">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Количество учащихся детской школы искусств;</w:t>
      </w:r>
    </w:p>
    <w:p w14:paraId="320E4E05">
      <w:pPr>
        <w:spacing w:line="240" w:lineRule="auto"/>
        <w:ind w:firstLine="0"/>
        <w:jc w:val="left"/>
        <w:rPr>
          <w:rFonts w:eastAsia="SimSun"/>
          <w:sz w:val="28"/>
          <w:szCs w:val="28"/>
        </w:rPr>
      </w:pPr>
      <w:r>
        <w:rPr>
          <w:rFonts w:hint="default"/>
          <w:sz w:val="28"/>
          <w:szCs w:val="28"/>
          <w:lang w:val="ru-RU"/>
        </w:rPr>
        <w:t xml:space="preserve">- </w:t>
      </w:r>
      <w:r>
        <w:rPr>
          <w:rFonts w:eastAsia="SimSun"/>
          <w:sz w:val="28"/>
          <w:szCs w:val="28"/>
        </w:rPr>
        <w:t>Рост численности туристов к предыдущему году;</w:t>
      </w:r>
    </w:p>
    <w:p w14:paraId="3F4A7E66">
      <w:pPr>
        <w:spacing w:line="240" w:lineRule="auto"/>
        <w:ind w:firstLine="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67AA5B97">
      <w:pPr>
        <w:spacing w:line="240" w:lineRule="auto"/>
        <w:ind w:firstLine="0" w:firstLineChars="0"/>
        <w:jc w:val="left"/>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highlight w:val="none"/>
          <w:lang w:val="ru-RU"/>
        </w:rPr>
        <w:t>- Уровень удовлетворённости граждан работой государственных и муниципальных организаций культуры, искусства и народного творчества</w:t>
      </w:r>
    </w:p>
    <w:p w14:paraId="04D657A0">
      <w:pPr>
        <w:spacing w:line="240" w:lineRule="auto"/>
        <w:ind w:firstLine="0"/>
        <w:jc w:val="left"/>
        <w:rPr>
          <w:rFonts w:hint="default" w:ascii="Times New Roman" w:hAnsi="Times New Roman" w:cs="Times New Roman"/>
          <w:color w:val="000000"/>
          <w:sz w:val="28"/>
          <w:szCs w:val="28"/>
          <w:lang w:val="ru-RU" w:eastAsia="ar-SA"/>
        </w:rPr>
      </w:pPr>
      <w:r>
        <w:rPr>
          <w:rFonts w:hint="default" w:ascii="Times New Roman" w:hAnsi="Times New Roman" w:cs="Times New Roman"/>
          <w:color w:val="000000"/>
          <w:kern w:val="0"/>
          <w:sz w:val="28"/>
          <w:szCs w:val="28"/>
          <w:lang w:val="ru-RU" w:eastAsia="zh-CN" w:bidi="ar"/>
        </w:rPr>
        <w:t>-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p w14:paraId="4FA88180">
      <w:pPr>
        <w:rPr>
          <w:szCs w:val="28"/>
        </w:rPr>
      </w:pPr>
      <w:r>
        <w:rPr>
          <w:szCs w:val="28"/>
        </w:rPr>
        <w:t>Показатель «Количество посещений библиотек (на 1 жителя в год)» (</w:t>
      </w:r>
      <w:r>
        <w:rPr>
          <w:szCs w:val="28"/>
          <w:lang w:val="en-US"/>
        </w:rPr>
        <w:t>I</w:t>
      </w:r>
      <w:r>
        <w:rPr>
          <w:szCs w:val="28"/>
          <w:vertAlign w:val="subscript"/>
        </w:rPr>
        <w:t>1</w:t>
      </w:r>
      <w:r>
        <w:rPr>
          <w:szCs w:val="28"/>
        </w:rPr>
        <w:t>), определяется по формуле:</w:t>
      </w:r>
    </w:p>
    <w:p w14:paraId="3DE5DED8">
      <w:pPr>
        <w:rPr>
          <w:szCs w:val="28"/>
        </w:rPr>
      </w:pPr>
    </w:p>
    <w:p w14:paraId="683369F9">
      <w:pPr>
        <w:jc w:val="center"/>
        <w:rPr>
          <w:szCs w:val="28"/>
        </w:rPr>
      </w:pPr>
      <w:r>
        <w:rPr>
          <w:szCs w:val="28"/>
          <w:lang w:val="en-US"/>
        </w:rPr>
        <w:t>I</w:t>
      </w:r>
      <w:r>
        <w:rPr>
          <w:szCs w:val="28"/>
          <w:vertAlign w:val="subscript"/>
        </w:rPr>
        <w:t xml:space="preserve">1 </w:t>
      </w:r>
      <w:r>
        <w:rPr>
          <w:szCs w:val="28"/>
        </w:rPr>
        <w:t xml:space="preserve">= </w:t>
      </w:r>
      <w:r>
        <w:rPr>
          <w:szCs w:val="28"/>
          <w:lang w:val="en-US"/>
        </w:rPr>
        <w:t>N</w:t>
      </w:r>
      <w:r>
        <w:rPr>
          <w:szCs w:val="28"/>
          <w:vertAlign w:val="subscript"/>
        </w:rPr>
        <w:t xml:space="preserve">пб </w:t>
      </w:r>
      <w:r>
        <w:rPr>
          <w:szCs w:val="28"/>
        </w:rPr>
        <w:t>/</w:t>
      </w:r>
      <w:r>
        <w:rPr>
          <w:szCs w:val="28"/>
          <w:lang w:val="en-US"/>
        </w:rPr>
        <w:t>P</w:t>
      </w:r>
      <w:r>
        <w:rPr>
          <w:szCs w:val="28"/>
        </w:rPr>
        <w:t>,   (количество посещений), где:</w:t>
      </w:r>
    </w:p>
    <w:p w14:paraId="059B6317">
      <w:pPr>
        <w:jc w:val="center"/>
        <w:rPr>
          <w:szCs w:val="28"/>
        </w:rPr>
      </w:pPr>
    </w:p>
    <w:p w14:paraId="0D1977E6">
      <w:pPr>
        <w:rPr>
          <w:szCs w:val="28"/>
        </w:rPr>
      </w:pPr>
      <w:r>
        <w:rPr>
          <w:szCs w:val="28"/>
          <w:lang w:val="en-US"/>
        </w:rPr>
        <w:t>N</w:t>
      </w:r>
      <w:r>
        <w:rPr>
          <w:szCs w:val="28"/>
          <w:vertAlign w:val="subscript"/>
        </w:rPr>
        <w:t>пб</w:t>
      </w:r>
      <w:r>
        <w:rPr>
          <w:szCs w:val="28"/>
        </w:rPr>
        <w:t xml:space="preserve"> – количество посещений библиотек в </w:t>
      </w:r>
      <w:r>
        <w:rPr>
          <w:szCs w:val="28"/>
          <w:lang w:val="ru-RU"/>
        </w:rPr>
        <w:t>отчётном</w:t>
      </w:r>
      <w:r>
        <w:rPr>
          <w:szCs w:val="28"/>
        </w:rPr>
        <w:t xml:space="preserve"> году</w:t>
      </w:r>
      <w:r>
        <w:rPr>
          <w:spacing w:val="-1"/>
          <w:szCs w:val="28"/>
        </w:rPr>
        <w:t xml:space="preserve"> согласно данным формы </w:t>
      </w:r>
      <w:r>
        <w:rPr>
          <w:szCs w:val="28"/>
        </w:rPr>
        <w:t xml:space="preserve"> «Свод годовых сведений об общедоступных (публичных) библиотеках системы Минкультуры России», </w:t>
      </w:r>
      <w:r>
        <w:rPr>
          <w:szCs w:val="28"/>
          <w:lang w:val="ru-RU"/>
        </w:rPr>
        <w:t>утверждённой</w:t>
      </w:r>
      <w:r>
        <w:rPr>
          <w:szCs w:val="28"/>
        </w:rPr>
        <w:t xml:space="preserve"> приказа Росстата от 15.07.2011№324</w:t>
      </w:r>
    </w:p>
    <w:p w14:paraId="2B27004A">
      <w:pPr>
        <w:rPr>
          <w:szCs w:val="28"/>
        </w:rPr>
      </w:pPr>
      <w:r>
        <w:rPr>
          <w:szCs w:val="28"/>
        </w:rPr>
        <w:t>P –  численность населения на начало отчётного года</w:t>
      </w:r>
      <w:r>
        <w:rPr>
          <w:spacing w:val="-4"/>
          <w:szCs w:val="28"/>
        </w:rPr>
        <w:t xml:space="preserve">  согласно данным </w:t>
      </w:r>
      <w:r>
        <w:rPr>
          <w:szCs w:val="28"/>
        </w:rPr>
        <w:t>Территориального органа Федеральной службы государственной статистики по Кировской области.</w:t>
      </w:r>
    </w:p>
    <w:p w14:paraId="28B955F4">
      <w:pPr>
        <w:rPr>
          <w:szCs w:val="28"/>
        </w:rPr>
      </w:pPr>
    </w:p>
    <w:p w14:paraId="2CA09F7D">
      <w:pPr>
        <w:rPr>
          <w:szCs w:val="28"/>
        </w:rPr>
      </w:pPr>
      <w:r>
        <w:rPr>
          <w:szCs w:val="28"/>
        </w:rPr>
        <w:t>Показатель «Темп роста численности участников культурно-массовых мероприятий, проводимых учреждениями культурно-досугового типа, к предыдущему году» (</w:t>
      </w:r>
      <w:r>
        <w:rPr>
          <w:szCs w:val="28"/>
          <w:lang w:val="en-US"/>
        </w:rPr>
        <w:t>I</w:t>
      </w:r>
      <w:r>
        <w:rPr>
          <w:szCs w:val="28"/>
          <w:vertAlign w:val="subscript"/>
        </w:rPr>
        <w:t>2</w:t>
      </w:r>
      <w:r>
        <w:rPr>
          <w:szCs w:val="28"/>
        </w:rPr>
        <w:t>), определяется по формуле:</w:t>
      </w:r>
    </w:p>
    <w:p w14:paraId="560D6C4A">
      <w:pPr>
        <w:rPr>
          <w:szCs w:val="28"/>
        </w:rPr>
      </w:pPr>
    </w:p>
    <w:p w14:paraId="54BACFFA">
      <w:pPr>
        <w:jc w:val="center"/>
        <w:rPr>
          <w:szCs w:val="28"/>
        </w:rPr>
      </w:pPr>
      <w:r>
        <w:rPr>
          <w:szCs w:val="28"/>
          <w:lang w:val="en-US"/>
        </w:rPr>
        <w:t>I</w:t>
      </w:r>
      <w:r>
        <w:rPr>
          <w:szCs w:val="28"/>
          <w:vertAlign w:val="subscript"/>
        </w:rPr>
        <w:t xml:space="preserve">2 </w:t>
      </w:r>
      <w:r>
        <w:rPr>
          <w:szCs w:val="28"/>
        </w:rPr>
        <w:t xml:space="preserve">= </w:t>
      </w:r>
      <w:r>
        <w:rPr>
          <w:szCs w:val="28"/>
          <w:lang w:val="en-US"/>
        </w:rPr>
        <w:t>N</w:t>
      </w:r>
      <w:r>
        <w:rPr>
          <w:szCs w:val="28"/>
          <w:vertAlign w:val="subscript"/>
        </w:rPr>
        <w:t>ог</w:t>
      </w:r>
      <w:r>
        <w:rPr>
          <w:szCs w:val="28"/>
        </w:rPr>
        <w:t xml:space="preserve"> / </w:t>
      </w:r>
      <w:r>
        <w:rPr>
          <w:szCs w:val="28"/>
          <w:lang w:val="en-US"/>
        </w:rPr>
        <w:t>N</w:t>
      </w:r>
      <w:r>
        <w:rPr>
          <w:szCs w:val="28"/>
          <w:vertAlign w:val="subscript"/>
        </w:rPr>
        <w:t>пог</w:t>
      </w:r>
      <w:r>
        <w:rPr>
          <w:szCs w:val="28"/>
        </w:rPr>
        <w:t xml:space="preserve"> х 100% (%), где:</w:t>
      </w:r>
    </w:p>
    <w:p w14:paraId="3E24C3CB">
      <w:pPr>
        <w:jc w:val="center"/>
        <w:rPr>
          <w:szCs w:val="28"/>
        </w:rPr>
      </w:pPr>
    </w:p>
    <w:p w14:paraId="0806F4E3">
      <w:pPr>
        <w:rPr>
          <w:szCs w:val="28"/>
        </w:rPr>
      </w:pPr>
      <w:r>
        <w:rPr>
          <w:szCs w:val="28"/>
          <w:lang w:val="en-US"/>
        </w:rPr>
        <w:t>N</w:t>
      </w:r>
      <w:r>
        <w:rPr>
          <w:szCs w:val="28"/>
          <w:vertAlign w:val="subscript"/>
        </w:rPr>
        <w:t>ог</w:t>
      </w:r>
      <w:r>
        <w:rPr>
          <w:szCs w:val="28"/>
        </w:rPr>
        <w:t xml:space="preserve"> – количество участников культурно-массовых мероприятий в </w:t>
      </w:r>
      <w:r>
        <w:rPr>
          <w:szCs w:val="28"/>
          <w:lang w:val="ru-RU"/>
        </w:rPr>
        <w:t>отчётном</w:t>
      </w:r>
      <w:r>
        <w:rPr>
          <w:szCs w:val="28"/>
        </w:rPr>
        <w:t xml:space="preserve"> году согласно данным формы «Свод годовых сведений об учреждениях культурно-досугового типа системы Минкультуры России», </w:t>
      </w:r>
      <w:r>
        <w:rPr>
          <w:szCs w:val="28"/>
          <w:lang w:val="ru-RU"/>
        </w:rPr>
        <w:t>утверждённой</w:t>
      </w:r>
      <w:r>
        <w:rPr>
          <w:szCs w:val="28"/>
        </w:rPr>
        <w:t xml:space="preserve"> приказом Минкультуры России от 21.09.2011№ 938;</w:t>
      </w:r>
    </w:p>
    <w:p w14:paraId="0C0D6BED">
      <w:pPr>
        <w:rPr>
          <w:szCs w:val="28"/>
        </w:rPr>
      </w:pPr>
      <w:r>
        <w:rPr>
          <w:szCs w:val="28"/>
          <w:lang w:val="en-US"/>
        </w:rPr>
        <w:t>N</w:t>
      </w:r>
      <w:r>
        <w:rPr>
          <w:szCs w:val="28"/>
          <w:vertAlign w:val="subscript"/>
        </w:rPr>
        <w:t>пог</w:t>
      </w:r>
      <w:r>
        <w:rPr>
          <w:szCs w:val="28"/>
        </w:rPr>
        <w:t xml:space="preserve"> – количество участников культурно-массовых мероприятий в году, предшествующем </w:t>
      </w:r>
      <w:r>
        <w:rPr>
          <w:szCs w:val="28"/>
          <w:lang w:val="ru-RU"/>
        </w:rPr>
        <w:t>отчётному</w:t>
      </w:r>
      <w:r>
        <w:rPr>
          <w:szCs w:val="28"/>
        </w:rPr>
        <w:t xml:space="preserve"> году, согласно данным формы федерального статистического наблюдения «Свод годовых сведений об учреждениях культурно-досугового типа системы Минкультуры России», </w:t>
      </w:r>
      <w:r>
        <w:rPr>
          <w:szCs w:val="28"/>
          <w:lang w:val="ru-RU"/>
        </w:rPr>
        <w:t>утверждённой</w:t>
      </w:r>
      <w:r>
        <w:rPr>
          <w:szCs w:val="28"/>
        </w:rPr>
        <w:t xml:space="preserve"> приказом Минкультуры России от 21.09.2011№ 938.</w:t>
      </w:r>
    </w:p>
    <w:p w14:paraId="5328082D">
      <w:pPr>
        <w:rPr>
          <w:szCs w:val="28"/>
        </w:rPr>
      </w:pPr>
    </w:p>
    <w:p w14:paraId="3491E02E">
      <w:pPr>
        <w:rPr>
          <w:bCs/>
          <w:szCs w:val="28"/>
        </w:rPr>
      </w:pPr>
      <w:r>
        <w:rPr>
          <w:szCs w:val="28"/>
        </w:rPr>
        <w:t>Показатель «Посещаемость музея (на 1000 человек)» (</w:t>
      </w:r>
      <w:r>
        <w:rPr>
          <w:bCs/>
          <w:szCs w:val="28"/>
          <w:lang w:val="en-US"/>
        </w:rPr>
        <w:t>I</w:t>
      </w:r>
      <w:r>
        <w:rPr>
          <w:bCs/>
          <w:szCs w:val="28"/>
          <w:vertAlign w:val="subscript"/>
        </w:rPr>
        <w:t>3</w:t>
      </w:r>
      <w:r>
        <w:rPr>
          <w:szCs w:val="28"/>
        </w:rPr>
        <w:t xml:space="preserve">), </w:t>
      </w:r>
      <w:r>
        <w:rPr>
          <w:bCs/>
          <w:szCs w:val="28"/>
        </w:rPr>
        <w:t xml:space="preserve"> определяется по формуле:</w:t>
      </w:r>
    </w:p>
    <w:p w14:paraId="30AF2690">
      <w:pPr>
        <w:rPr>
          <w:bCs/>
          <w:szCs w:val="28"/>
        </w:rPr>
      </w:pPr>
    </w:p>
    <w:p w14:paraId="7978AC1C">
      <w:pPr>
        <w:jc w:val="center"/>
        <w:rPr>
          <w:szCs w:val="28"/>
        </w:rPr>
      </w:pPr>
      <w:r>
        <w:rPr>
          <w:szCs w:val="28"/>
          <w:lang w:val="en-US"/>
        </w:rPr>
        <w:t>I</w:t>
      </w:r>
      <w:r>
        <w:rPr>
          <w:szCs w:val="28"/>
          <w:vertAlign w:val="subscript"/>
        </w:rPr>
        <w:t xml:space="preserve">3 </w:t>
      </w:r>
      <w:r>
        <w:rPr>
          <w:szCs w:val="28"/>
        </w:rPr>
        <w:t xml:space="preserve">= </w:t>
      </w:r>
      <w:r>
        <w:rPr>
          <w:szCs w:val="28"/>
          <w:lang w:val="en-US"/>
        </w:rPr>
        <w:t>N</w:t>
      </w:r>
      <w:r>
        <w:rPr>
          <w:szCs w:val="28"/>
          <w:vertAlign w:val="subscript"/>
        </w:rPr>
        <w:t>пм</w:t>
      </w:r>
      <w:r>
        <w:rPr>
          <w:szCs w:val="28"/>
        </w:rPr>
        <w:t xml:space="preserve"> / </w:t>
      </w:r>
      <w:r>
        <w:rPr>
          <w:szCs w:val="28"/>
          <w:lang w:val="en-US"/>
        </w:rPr>
        <w:t>P</w:t>
      </w:r>
      <w:r>
        <w:rPr>
          <w:szCs w:val="28"/>
        </w:rPr>
        <w:t xml:space="preserve"> х 1000,     (количество посещений на 1000 человек), где:</w:t>
      </w:r>
    </w:p>
    <w:p w14:paraId="49C71E4F">
      <w:pPr>
        <w:rPr>
          <w:szCs w:val="28"/>
        </w:rPr>
      </w:pPr>
      <w:r>
        <w:rPr>
          <w:bCs/>
          <w:szCs w:val="28"/>
          <w:lang w:val="en-US"/>
        </w:rPr>
        <w:t>N</w:t>
      </w:r>
      <w:r>
        <w:rPr>
          <w:bCs/>
          <w:szCs w:val="28"/>
          <w:vertAlign w:val="subscript"/>
        </w:rPr>
        <w:t>пм</w:t>
      </w:r>
      <w:r>
        <w:rPr>
          <w:bCs/>
          <w:szCs w:val="28"/>
        </w:rPr>
        <w:t xml:space="preserve"> </w:t>
      </w:r>
      <w:r>
        <w:rPr>
          <w:szCs w:val="28"/>
        </w:rPr>
        <w:t>–</w:t>
      </w:r>
      <w:r>
        <w:rPr>
          <w:bCs/>
          <w:szCs w:val="28"/>
        </w:rPr>
        <w:t xml:space="preserve"> количество посещений музейных учреждений в </w:t>
      </w:r>
      <w:r>
        <w:rPr>
          <w:bCs/>
          <w:szCs w:val="28"/>
          <w:lang w:val="ru-RU"/>
        </w:rPr>
        <w:t>отчётном</w:t>
      </w:r>
      <w:r>
        <w:rPr>
          <w:bCs/>
          <w:szCs w:val="28"/>
        </w:rPr>
        <w:t xml:space="preserve"> году</w:t>
      </w:r>
      <w:r>
        <w:rPr>
          <w:spacing w:val="-1"/>
          <w:szCs w:val="28"/>
        </w:rPr>
        <w:t xml:space="preserve"> согласно данным формы федерального статистического наблюдения</w:t>
      </w:r>
      <w:r>
        <w:rPr>
          <w:szCs w:val="28"/>
        </w:rPr>
        <w:t xml:space="preserve"> № 8-НК «Сведения о деятельности музея», </w:t>
      </w:r>
      <w:r>
        <w:rPr>
          <w:szCs w:val="28"/>
          <w:lang w:val="ru-RU"/>
        </w:rPr>
        <w:t>утверждённая</w:t>
      </w:r>
      <w:r>
        <w:rPr>
          <w:szCs w:val="28"/>
        </w:rPr>
        <w:t xml:space="preserve"> приказом Росстата от 15.07.2011 № 324;</w:t>
      </w:r>
    </w:p>
    <w:p w14:paraId="2D8EC38C">
      <w:pPr>
        <w:rPr>
          <w:szCs w:val="28"/>
        </w:rPr>
      </w:pPr>
      <w:r>
        <w:rPr>
          <w:szCs w:val="28"/>
        </w:rPr>
        <w:t>P – численность населения на начало отчётного года</w:t>
      </w:r>
      <w:r>
        <w:rPr>
          <w:spacing w:val="-4"/>
          <w:szCs w:val="28"/>
        </w:rPr>
        <w:t xml:space="preserve"> согласно данным </w:t>
      </w:r>
      <w:r>
        <w:rPr>
          <w:szCs w:val="28"/>
        </w:rPr>
        <w:t>Территориального органа Федеральной службы государственной статистики по Кировской области.</w:t>
      </w:r>
    </w:p>
    <w:p w14:paraId="2EE31C67">
      <w:pPr>
        <w:rPr>
          <w:szCs w:val="28"/>
        </w:rPr>
      </w:pPr>
    </w:p>
    <w:p w14:paraId="6532C2D0">
      <w:pPr>
        <w:rPr>
          <w:szCs w:val="28"/>
        </w:rPr>
      </w:pPr>
      <w:r>
        <w:rPr>
          <w:szCs w:val="28"/>
        </w:rPr>
        <w:t xml:space="preserve">Показатель «Рост численности туристов </w:t>
      </w:r>
      <w:r>
        <w:rPr>
          <w:rFonts w:eastAsia="SimSun"/>
          <w:szCs w:val="28"/>
        </w:rPr>
        <w:t xml:space="preserve"> к предыдущему году»</w:t>
      </w:r>
      <w:r>
        <w:rPr>
          <w:szCs w:val="28"/>
        </w:rPr>
        <w:t xml:space="preserve"> (</w:t>
      </w:r>
      <w:r>
        <w:rPr>
          <w:bCs/>
          <w:szCs w:val="28"/>
          <w:lang w:val="en-US"/>
        </w:rPr>
        <w:t>I</w:t>
      </w:r>
      <w:r>
        <w:rPr>
          <w:bCs/>
          <w:szCs w:val="28"/>
          <w:vertAlign w:val="subscript"/>
        </w:rPr>
        <w:t>4</w:t>
      </w:r>
      <w:r>
        <w:rPr>
          <w:szCs w:val="28"/>
        </w:rPr>
        <w:t>), определяется по формуле:</w:t>
      </w:r>
    </w:p>
    <w:p w14:paraId="0994822D">
      <w:pPr>
        <w:rPr>
          <w:szCs w:val="28"/>
        </w:rPr>
      </w:pPr>
    </w:p>
    <w:p w14:paraId="19BDF065">
      <w:pPr>
        <w:jc w:val="center"/>
        <w:rPr>
          <w:szCs w:val="28"/>
        </w:rPr>
      </w:pPr>
      <w:r>
        <w:rPr>
          <w:bCs/>
          <w:szCs w:val="28"/>
          <w:lang w:val="en-US"/>
        </w:rPr>
        <w:t>I</w:t>
      </w:r>
      <w:r>
        <w:rPr>
          <w:bCs/>
          <w:szCs w:val="28"/>
          <w:vertAlign w:val="subscript"/>
        </w:rPr>
        <w:t xml:space="preserve">4 </w:t>
      </w:r>
      <w:r>
        <w:rPr>
          <w:szCs w:val="28"/>
        </w:rPr>
        <w:t xml:space="preserve">=  </w:t>
      </w:r>
      <w:r>
        <w:rPr>
          <w:bCs/>
          <w:szCs w:val="28"/>
        </w:rPr>
        <w:t>Т</w:t>
      </w:r>
      <w:r>
        <w:rPr>
          <w:bCs/>
          <w:szCs w:val="28"/>
          <w:vertAlign w:val="subscript"/>
        </w:rPr>
        <w:t>ог</w:t>
      </w:r>
      <w:r>
        <w:rPr>
          <w:bCs/>
          <w:szCs w:val="28"/>
        </w:rPr>
        <w:t xml:space="preserve"> </w:t>
      </w:r>
      <w:r>
        <w:rPr>
          <w:szCs w:val="28"/>
        </w:rPr>
        <w:t>/ Т</w:t>
      </w:r>
      <w:r>
        <w:rPr>
          <w:szCs w:val="28"/>
          <w:vertAlign w:val="subscript"/>
        </w:rPr>
        <w:t>пог</w:t>
      </w:r>
      <w:r>
        <w:rPr>
          <w:szCs w:val="28"/>
        </w:rPr>
        <w:t xml:space="preserve"> х 100%   (%), где:</w:t>
      </w:r>
    </w:p>
    <w:p w14:paraId="5E465ECA">
      <w:pPr>
        <w:jc w:val="center"/>
        <w:rPr>
          <w:szCs w:val="28"/>
        </w:rPr>
      </w:pPr>
    </w:p>
    <w:p w14:paraId="6212F007">
      <w:pPr>
        <w:rPr>
          <w:szCs w:val="28"/>
        </w:rPr>
      </w:pPr>
      <w:r>
        <w:rPr>
          <w:bCs/>
          <w:szCs w:val="28"/>
        </w:rPr>
        <w:t>Т</w:t>
      </w:r>
      <w:r>
        <w:rPr>
          <w:bCs/>
          <w:szCs w:val="28"/>
          <w:vertAlign w:val="subscript"/>
        </w:rPr>
        <w:t>ог</w:t>
      </w:r>
      <w:r>
        <w:rPr>
          <w:bCs/>
          <w:szCs w:val="28"/>
        </w:rPr>
        <w:t xml:space="preserve"> – количество туристов в отчётном году;</w:t>
      </w:r>
    </w:p>
    <w:p w14:paraId="6FF3BEE2">
      <w:pPr>
        <w:widowControl w:val="0"/>
        <w:autoSpaceDE w:val="0"/>
        <w:autoSpaceDN w:val="0"/>
        <w:adjustRightInd w:val="0"/>
        <w:spacing w:after="0"/>
        <w:ind w:firstLine="0"/>
        <w:rPr>
          <w:szCs w:val="28"/>
        </w:rPr>
      </w:pPr>
      <w:r>
        <w:rPr>
          <w:szCs w:val="28"/>
        </w:rPr>
        <w:tab/>
      </w:r>
      <w:r>
        <w:rPr>
          <w:szCs w:val="28"/>
        </w:rPr>
        <w:t>Т</w:t>
      </w:r>
      <w:r>
        <w:rPr>
          <w:szCs w:val="28"/>
          <w:vertAlign w:val="subscript"/>
        </w:rPr>
        <w:t>пог</w:t>
      </w:r>
      <w:r>
        <w:rPr>
          <w:szCs w:val="28"/>
        </w:rPr>
        <w:t xml:space="preserve"> – количество туристов в году, предшествующем отчётному году;</w:t>
      </w:r>
    </w:p>
    <w:p w14:paraId="405372D7">
      <w:pPr>
        <w:rPr>
          <w:szCs w:val="28"/>
        </w:rPr>
      </w:pPr>
    </w:p>
    <w:p w14:paraId="6E3A8856">
      <w:pPr>
        <w:rPr>
          <w:szCs w:val="28"/>
        </w:rPr>
      </w:pPr>
      <w:r>
        <w:rPr>
          <w:szCs w:val="28"/>
        </w:rPr>
        <w:t>Показатель «Количество учащихся детской школы искусств»  (человек) определяется согласно данным формы федерального статистического наблюдения формы № 1 –ДО «Сведения об учреждении дополнительного образования детей».</w:t>
      </w:r>
    </w:p>
    <w:p w14:paraId="2986442A">
      <w:pPr>
        <w:rPr>
          <w:szCs w:val="28"/>
        </w:rPr>
      </w:pPr>
    </w:p>
    <w:p w14:paraId="3FA601FF">
      <w:pPr>
        <w:rPr>
          <w:szCs w:val="28"/>
        </w:rPr>
      </w:pPr>
      <w:r>
        <w:rPr>
          <w:szCs w:val="28"/>
        </w:rPr>
        <w:t>Показатель «Темпы роста численности участников культурно-массовых мероприятий, проводимых учреждениями культурно-досугового типа к предыдущему году»</w:t>
      </w:r>
    </w:p>
    <w:p w14:paraId="0889106E">
      <w:pPr>
        <w:rPr>
          <w:szCs w:val="28"/>
        </w:rPr>
      </w:pPr>
      <w:r>
        <w:rPr>
          <w:szCs w:val="28"/>
        </w:rPr>
        <w:t>(</w:t>
      </w:r>
      <w:r>
        <w:rPr>
          <w:szCs w:val="28"/>
          <w:lang w:val="en-US"/>
        </w:rPr>
        <w:t>I</w:t>
      </w:r>
      <w:r>
        <w:rPr>
          <w:szCs w:val="28"/>
        </w:rPr>
        <w:t>2) определяется по формуле:</w:t>
      </w:r>
    </w:p>
    <w:p w14:paraId="179F51E9">
      <w:pPr>
        <w:rPr>
          <w:szCs w:val="28"/>
        </w:rPr>
      </w:pPr>
    </w:p>
    <w:p w14:paraId="3AEDCC54">
      <w:pPr>
        <w:jc w:val="center"/>
        <w:rPr>
          <w:szCs w:val="28"/>
        </w:rPr>
      </w:pPr>
      <w:r>
        <w:rPr>
          <w:szCs w:val="28"/>
          <w:lang w:val="en-US"/>
        </w:rPr>
        <w:t>I</w:t>
      </w:r>
      <w:r>
        <w:rPr>
          <w:szCs w:val="28"/>
          <w:vertAlign w:val="subscript"/>
        </w:rPr>
        <w:t xml:space="preserve">2 </w:t>
      </w:r>
      <w:r>
        <w:rPr>
          <w:szCs w:val="28"/>
        </w:rPr>
        <w:t xml:space="preserve">= </w:t>
      </w:r>
      <w:r>
        <w:rPr>
          <w:szCs w:val="28"/>
          <w:lang w:val="en-US"/>
        </w:rPr>
        <w:t>N</w:t>
      </w:r>
      <w:r>
        <w:rPr>
          <w:szCs w:val="28"/>
          <w:vertAlign w:val="subscript"/>
        </w:rPr>
        <w:t>ог</w:t>
      </w:r>
      <w:r>
        <w:rPr>
          <w:szCs w:val="28"/>
        </w:rPr>
        <w:t xml:space="preserve"> / </w:t>
      </w:r>
      <w:r>
        <w:rPr>
          <w:szCs w:val="28"/>
          <w:lang w:val="en-US"/>
        </w:rPr>
        <w:t>N</w:t>
      </w:r>
      <w:r>
        <w:rPr>
          <w:szCs w:val="28"/>
          <w:vertAlign w:val="subscript"/>
        </w:rPr>
        <w:t>пог</w:t>
      </w:r>
      <w:r>
        <w:rPr>
          <w:szCs w:val="28"/>
        </w:rPr>
        <w:t xml:space="preserve"> х 100% (%), где:</w:t>
      </w:r>
    </w:p>
    <w:p w14:paraId="53D11F0D">
      <w:pPr>
        <w:jc w:val="center"/>
        <w:rPr>
          <w:szCs w:val="28"/>
        </w:rPr>
      </w:pPr>
    </w:p>
    <w:p w14:paraId="3DF02099">
      <w:pPr>
        <w:spacing w:line="240" w:lineRule="auto"/>
        <w:rPr>
          <w:szCs w:val="28"/>
        </w:rPr>
      </w:pPr>
      <w:r>
        <w:rPr>
          <w:szCs w:val="28"/>
          <w:lang w:val="en-US"/>
        </w:rPr>
        <w:t>N</w:t>
      </w:r>
      <w:r>
        <w:rPr>
          <w:szCs w:val="28"/>
          <w:vertAlign w:val="subscript"/>
        </w:rPr>
        <w:t>ог</w:t>
      </w:r>
      <w:r>
        <w:rPr>
          <w:szCs w:val="28"/>
        </w:rPr>
        <w:t xml:space="preserve"> – количество участников культурно-массовых мероприятий в отчетном году, согласно данным формы «Свод годовых сведений об учреждениях культурно-досугового типа системы Минкультуры России»;</w:t>
      </w:r>
    </w:p>
    <w:p w14:paraId="1EC8B3FE">
      <w:pPr>
        <w:keepNext w:val="0"/>
        <w:keepLines w:val="0"/>
        <w:widowControl/>
        <w:suppressLineNumbers w:val="0"/>
        <w:spacing w:line="240" w:lineRule="auto"/>
        <w:ind w:left="0" w:leftChars="0" w:firstLine="0" w:firstLineChars="0"/>
        <w:jc w:val="both"/>
        <w:rPr>
          <w:szCs w:val="28"/>
        </w:rPr>
      </w:pPr>
      <w:r>
        <w:rPr>
          <w:szCs w:val="28"/>
          <w:lang w:val="en-US"/>
        </w:rPr>
        <w:t>N</w:t>
      </w:r>
      <w:r>
        <w:rPr>
          <w:szCs w:val="28"/>
          <w:vertAlign w:val="subscript"/>
        </w:rPr>
        <w:t>пог</w:t>
      </w:r>
      <w:r>
        <w:rPr>
          <w:szCs w:val="28"/>
        </w:rPr>
        <w:t xml:space="preserve"> – количество участников культурно-массовых мероприятий в году, предшествующем отчетному году, согласно данным формы федерального статистического наблюдения «Свод годовых сведений об учреждениях культурно-досугового типа системы Минкультуры России».</w:t>
      </w:r>
    </w:p>
    <w:p w14:paraId="244DDE7D">
      <w:pPr>
        <w:keepNext w:val="0"/>
        <w:keepLines w:val="0"/>
        <w:widowControl/>
        <w:suppressLineNumbers w:val="0"/>
        <w:spacing w:line="240" w:lineRule="auto"/>
        <w:ind w:left="0" w:leftChars="0" w:firstLine="700" w:firstLineChars="250"/>
        <w:jc w:val="both"/>
        <w:rPr>
          <w:rFonts w:hint="default" w:ascii="Times New Roman" w:hAnsi="Times New Roman" w:cs="Times New Roman"/>
          <w:sz w:val="28"/>
          <w:szCs w:val="28"/>
          <w:lang w:val="ru-RU"/>
        </w:rPr>
      </w:pPr>
    </w:p>
    <w:p w14:paraId="648B2B94">
      <w:pPr>
        <w:keepNext w:val="0"/>
        <w:keepLines w:val="0"/>
        <w:widowControl/>
        <w:suppressLineNumbers w:val="0"/>
        <w:spacing w:line="240" w:lineRule="auto"/>
        <w:ind w:left="0" w:leftChars="0" w:firstLine="700" w:firstLineChars="250"/>
        <w:jc w:val="both"/>
        <w:rPr>
          <w:rFonts w:hint="default" w:ascii="Times New Roman" w:hAnsi="Times New Roman" w:cs="Times New Roman"/>
          <w:color w:val="000000"/>
          <w:kern w:val="0"/>
          <w:sz w:val="28"/>
          <w:szCs w:val="28"/>
          <w:lang w:val="ru-RU" w:eastAsia="zh-CN" w:bidi="ar"/>
        </w:rPr>
      </w:pPr>
      <w:r>
        <w:rPr>
          <w:rFonts w:hint="default" w:ascii="Times New Roman" w:hAnsi="Times New Roman" w:cs="Times New Roman"/>
          <w:sz w:val="28"/>
          <w:szCs w:val="28"/>
          <w:lang w:val="ru-RU"/>
        </w:rPr>
        <w:t>Показатель «</w:t>
      </w:r>
      <w:r>
        <w:rPr>
          <w:rFonts w:hint="default" w:ascii="Times New Roman" w:hAnsi="Times New Roman" w:eastAsia="SimSun" w:cs="Times New Roman"/>
          <w:color w:val="000000"/>
          <w:kern w:val="0"/>
          <w:sz w:val="28"/>
          <w:szCs w:val="28"/>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посещений библиотек)</w:t>
      </w:r>
      <w:r>
        <w:rPr>
          <w:rFonts w:hint="default" w:ascii="Times New Roman" w:hAnsi="Times New Roman" w:cs="Times New Roman"/>
          <w:color w:val="000000"/>
          <w:kern w:val="0"/>
          <w:sz w:val="28"/>
          <w:szCs w:val="28"/>
          <w:lang w:val="ru-RU" w:eastAsia="zh-CN" w:bidi="ar"/>
        </w:rPr>
        <w:t>»</w:t>
      </w:r>
    </w:p>
    <w:p w14:paraId="5A1D95ED">
      <w:pPr>
        <w:spacing w:line="240" w:lineRule="auto"/>
        <w:jc w:val="center"/>
        <w:rPr>
          <w:rFonts w:hint="default" w:ascii="Times New Roman" w:hAnsi="Times New Roman" w:cs="Times New Roman"/>
          <w:sz w:val="28"/>
          <w:szCs w:val="28"/>
          <w:lang w:val="en-US"/>
        </w:rPr>
      </w:pPr>
    </w:p>
    <w:p w14:paraId="597A9B32">
      <w:pPr>
        <w:spacing w:line="24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I</w:t>
      </w:r>
      <w:r>
        <w:rPr>
          <w:rFonts w:hint="default" w:ascii="Times New Roman" w:hAnsi="Times New Roman" w:cs="Times New Roman"/>
          <w:sz w:val="28"/>
          <w:szCs w:val="28"/>
          <w:vertAlign w:val="subscript"/>
          <w:lang w:val="en-US"/>
        </w:rPr>
        <w:t>5</w:t>
      </w:r>
      <w:r>
        <w:rPr>
          <w:rFonts w:hint="default" w:ascii="Times New Roman" w:hAnsi="Times New Roman" w:cs="Times New Roman"/>
          <w:sz w:val="28"/>
          <w:szCs w:val="28"/>
          <w:vertAlign w:val="subscript"/>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rPr>
        <w:t xml:space="preserve">пб </w:t>
      </w:r>
      <w:r>
        <w:rPr>
          <w:rFonts w:hint="default" w:ascii="Times New Roman" w:hAnsi="Times New Roman" w:cs="Times New Roman"/>
          <w:sz w:val="28"/>
          <w:szCs w:val="28"/>
        </w:rPr>
        <w:t>/</w:t>
      </w: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lang w:val="en-US"/>
        </w:rPr>
        <w:t>2017</w:t>
      </w:r>
      <w:r>
        <w:rPr>
          <w:rFonts w:hint="default" w:ascii="Times New Roman" w:hAnsi="Times New Roman" w:cs="Times New Roman"/>
          <w:sz w:val="28"/>
          <w:szCs w:val="28"/>
          <w:vertAlign w:val="baseline"/>
          <w:lang w:val="en-US"/>
        </w:rPr>
        <w:t>*100%</w:t>
      </w:r>
      <w:r>
        <w:rPr>
          <w:rFonts w:hint="default" w:ascii="Times New Roman" w:hAnsi="Times New Roman" w:cs="Times New Roman"/>
          <w:sz w:val="28"/>
          <w:szCs w:val="28"/>
        </w:rPr>
        <w:t>,   (количество посещений), где:</w:t>
      </w:r>
    </w:p>
    <w:p w14:paraId="122F6E40">
      <w:pPr>
        <w:spacing w:line="240" w:lineRule="auto"/>
        <w:jc w:val="center"/>
        <w:rPr>
          <w:rFonts w:hint="default" w:ascii="Times New Roman" w:hAnsi="Times New Roman" w:cs="Times New Roman"/>
          <w:sz w:val="28"/>
          <w:szCs w:val="28"/>
        </w:rPr>
      </w:pPr>
    </w:p>
    <w:p w14:paraId="1B563AC5">
      <w:pPr>
        <w:spacing w:line="240" w:lineRule="auto"/>
        <w:rPr>
          <w:rFonts w:hint="default" w:ascii="Times New Roman" w:hAnsi="Times New Roman" w:cs="Times New Roman"/>
          <w:sz w:val="28"/>
          <w:szCs w:val="28"/>
        </w:rPr>
      </w:pP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rPr>
        <w:t>пб</w:t>
      </w:r>
      <w:r>
        <w:rPr>
          <w:rFonts w:hint="default" w:ascii="Times New Roman" w:hAnsi="Times New Roman" w:cs="Times New Roman"/>
          <w:sz w:val="28"/>
          <w:szCs w:val="28"/>
        </w:rPr>
        <w:t xml:space="preserve"> – количество посещений библиотек в </w:t>
      </w:r>
      <w:r>
        <w:rPr>
          <w:rFonts w:hint="default" w:cs="Times New Roman"/>
          <w:sz w:val="28"/>
          <w:szCs w:val="28"/>
          <w:lang w:val="ru-RU"/>
        </w:rPr>
        <w:t>отчётном</w:t>
      </w:r>
      <w:r>
        <w:rPr>
          <w:rFonts w:hint="default" w:ascii="Times New Roman" w:hAnsi="Times New Roman" w:cs="Times New Roman"/>
          <w:sz w:val="28"/>
          <w:szCs w:val="28"/>
        </w:rPr>
        <w:t xml:space="preserve"> году</w:t>
      </w:r>
      <w:r>
        <w:rPr>
          <w:rFonts w:hint="default" w:ascii="Times New Roman" w:hAnsi="Times New Roman" w:cs="Times New Roman"/>
          <w:spacing w:val="-1"/>
          <w:sz w:val="28"/>
          <w:szCs w:val="28"/>
        </w:rPr>
        <w:t xml:space="preserve"> согласно данным формы </w:t>
      </w:r>
      <w:r>
        <w:rPr>
          <w:rFonts w:hint="default" w:ascii="Times New Roman" w:hAnsi="Times New Roman" w:cs="Times New Roman"/>
          <w:sz w:val="28"/>
          <w:szCs w:val="28"/>
        </w:rPr>
        <w:t xml:space="preserve"> «Свод годовых сведений об общедоступных (публичных) библиотеках системы Минкультуры России», </w:t>
      </w:r>
      <w:r>
        <w:rPr>
          <w:rFonts w:hint="default" w:cs="Times New Roman"/>
          <w:sz w:val="28"/>
          <w:szCs w:val="28"/>
          <w:lang w:val="ru-RU"/>
        </w:rPr>
        <w:t>утверждённой</w:t>
      </w:r>
      <w:r>
        <w:rPr>
          <w:rFonts w:hint="default" w:ascii="Times New Roman" w:hAnsi="Times New Roman" w:cs="Times New Roman"/>
          <w:sz w:val="28"/>
          <w:szCs w:val="28"/>
        </w:rPr>
        <w:t xml:space="preserve"> приказа Росстата от 15.07.2011№324</w:t>
      </w:r>
    </w:p>
    <w:p w14:paraId="7C62E3C0">
      <w:pPr>
        <w:spacing w:line="240" w:lineRule="auto"/>
        <w:rPr>
          <w:rFonts w:hint="default" w:cs="Times New Roman"/>
          <w:sz w:val="28"/>
          <w:szCs w:val="28"/>
          <w:lang w:val="ru-RU"/>
        </w:rPr>
      </w:pPr>
      <w:r>
        <w:rPr>
          <w:rFonts w:hint="default" w:ascii="Times New Roman" w:hAnsi="Times New Roman" w:cs="Times New Roman"/>
          <w:sz w:val="28"/>
          <w:szCs w:val="28"/>
          <w:lang w:val="en-US"/>
        </w:rPr>
        <w:t>N</w:t>
      </w:r>
      <w:r>
        <w:rPr>
          <w:rFonts w:hint="default" w:ascii="Times New Roman" w:hAnsi="Times New Roman" w:cs="Times New Roman"/>
          <w:sz w:val="28"/>
          <w:szCs w:val="28"/>
          <w:vertAlign w:val="subscript"/>
          <w:lang w:val="en-US"/>
        </w:rPr>
        <w:t>2017</w:t>
      </w:r>
      <w:r>
        <w:rPr>
          <w:rFonts w:hint="default" w:ascii="Times New Roman" w:hAnsi="Times New Roman" w:cs="Times New Roman"/>
          <w:sz w:val="28"/>
          <w:szCs w:val="28"/>
        </w:rPr>
        <w:t xml:space="preserve"> –  количество посещений библиотек в </w:t>
      </w:r>
      <w:r>
        <w:rPr>
          <w:rFonts w:hint="default" w:ascii="Times New Roman" w:hAnsi="Times New Roman" w:cs="Times New Roman"/>
          <w:sz w:val="28"/>
          <w:szCs w:val="28"/>
          <w:lang w:val="en-US"/>
        </w:rPr>
        <w:t>2017</w:t>
      </w:r>
      <w:r>
        <w:rPr>
          <w:rFonts w:hint="default" w:ascii="Times New Roman" w:hAnsi="Times New Roman" w:cs="Times New Roman"/>
          <w:sz w:val="28"/>
          <w:szCs w:val="28"/>
        </w:rPr>
        <w:t xml:space="preserve"> году</w:t>
      </w:r>
      <w:r>
        <w:rPr>
          <w:rFonts w:hint="default" w:cs="Times New Roman"/>
          <w:sz w:val="28"/>
          <w:szCs w:val="28"/>
          <w:lang w:val="ru-RU"/>
        </w:rPr>
        <w:t>.</w:t>
      </w:r>
    </w:p>
    <w:p w14:paraId="5C4C6142">
      <w:pPr>
        <w:widowControl w:val="0"/>
        <w:autoSpaceDE w:val="0"/>
        <w:autoSpaceDN w:val="0"/>
        <w:adjustRightInd w:val="0"/>
        <w:spacing w:after="0" w:line="240" w:lineRule="auto"/>
        <w:ind w:left="0" w:leftChars="0" w:firstLine="719" w:firstLineChars="257"/>
        <w:rPr>
          <w:rFonts w:hint="default" w:ascii="Times New Roman" w:hAnsi="Times New Roman" w:cs="Times New Roman"/>
          <w:color w:val="000000"/>
          <w:sz w:val="28"/>
          <w:szCs w:val="28"/>
          <w:lang w:val="ru-RU" w:eastAsia="ar-SA"/>
        </w:rPr>
      </w:pPr>
      <w:r>
        <w:rPr>
          <w:rFonts w:hint="default" w:ascii="Times New Roman" w:hAnsi="Times New Roman" w:cs="Times New Roman"/>
          <w:color w:val="000000"/>
          <w:sz w:val="28"/>
          <w:szCs w:val="28"/>
          <w:lang w:val="ru-RU" w:eastAsia="ar-SA"/>
        </w:rPr>
        <w:t>Целевой показатель «</w:t>
      </w:r>
      <w:r>
        <w:rPr>
          <w:rFonts w:hint="default" w:ascii="Times New Roman" w:hAnsi="Times New Roman" w:cs="Times New Roman"/>
          <w:color w:val="000000"/>
          <w:kern w:val="0"/>
          <w:sz w:val="28"/>
          <w:szCs w:val="28"/>
          <w:lang w:val="ru-RU" w:eastAsia="zh-CN" w:bidi="ar"/>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берётся на основании приложения 4 «Отчёт о достижении значений результатов использования Субсидии и обязательствах, принятых в целях их достижения» Соглашения о предоставлении субсидии из бюджета субъекта Российской Федерации местному бюджету.</w:t>
      </w:r>
    </w:p>
    <w:p w14:paraId="7EE7941A">
      <w:pPr>
        <w:spacing w:line="240" w:lineRule="auto"/>
        <w:rPr>
          <w:rFonts w:hint="default" w:cs="Times New Roman"/>
          <w:sz w:val="28"/>
          <w:szCs w:val="28"/>
          <w:lang w:val="ru-RU"/>
        </w:rPr>
      </w:pPr>
    </w:p>
    <w:p w14:paraId="1A5C31F1">
      <w:pPr>
        <w:widowControl w:val="0"/>
        <w:autoSpaceDE w:val="0"/>
        <w:autoSpaceDN w:val="0"/>
        <w:adjustRightInd w:val="0"/>
        <w:spacing w:after="0" w:line="240" w:lineRule="auto"/>
        <w:rPr>
          <w:szCs w:val="28"/>
        </w:rPr>
      </w:pPr>
      <w:r>
        <w:rPr>
          <w:szCs w:val="28"/>
        </w:rPr>
        <w:t>Результатами реализации муниципальной программы будут являться:</w:t>
      </w:r>
    </w:p>
    <w:p w14:paraId="0F08BA99">
      <w:pPr>
        <w:ind w:firstLine="0"/>
        <w:rPr>
          <w:szCs w:val="28"/>
        </w:rPr>
      </w:pPr>
      <w:r>
        <w:rPr>
          <w:sz w:val="28"/>
          <w:szCs w:val="28"/>
          <w:lang w:val="ru-RU"/>
        </w:rPr>
        <w:t>в</w:t>
      </w:r>
      <w:r>
        <w:rPr>
          <w:sz w:val="28"/>
          <w:szCs w:val="28"/>
        </w:rPr>
        <w:t xml:space="preserve"> количественном выражении</w:t>
      </w:r>
      <w:r>
        <w:rPr>
          <w:rFonts w:hint="default"/>
          <w:sz w:val="28"/>
          <w:szCs w:val="28"/>
          <w:lang w:val="ru-RU"/>
        </w:rPr>
        <w:t xml:space="preserve"> </w:t>
      </w:r>
      <w:r>
        <w:rPr>
          <w:szCs w:val="28"/>
        </w:rPr>
        <w:t>к 202</w:t>
      </w:r>
      <w:r>
        <w:rPr>
          <w:rFonts w:hint="default"/>
          <w:szCs w:val="28"/>
          <w:lang w:val="ru-RU"/>
        </w:rPr>
        <w:t>8</w:t>
      </w:r>
      <w:r>
        <w:rPr>
          <w:szCs w:val="28"/>
        </w:rPr>
        <w:t xml:space="preserve"> году:</w:t>
      </w:r>
    </w:p>
    <w:p w14:paraId="4021A155">
      <w:pPr>
        <w:spacing w:line="240" w:lineRule="auto"/>
        <w:ind w:firstLine="0"/>
        <w:rPr>
          <w:sz w:val="28"/>
          <w:szCs w:val="28"/>
          <w:highlight w:val="none"/>
        </w:rPr>
      </w:pPr>
      <w:r>
        <w:rPr>
          <w:sz w:val="28"/>
          <w:szCs w:val="28"/>
          <w:highlight w:val="none"/>
        </w:rPr>
        <w:t xml:space="preserve">- </w:t>
      </w:r>
      <w:r>
        <w:rPr>
          <w:sz w:val="28"/>
          <w:szCs w:val="28"/>
          <w:highlight w:val="none"/>
          <w:lang w:val="ru-RU"/>
        </w:rPr>
        <w:t>рост</w:t>
      </w:r>
      <w:r>
        <w:rPr>
          <w:rFonts w:hint="default"/>
          <w:sz w:val="28"/>
          <w:szCs w:val="28"/>
          <w:highlight w:val="none"/>
          <w:lang w:val="ru-RU"/>
        </w:rPr>
        <w:t xml:space="preserve"> </w:t>
      </w:r>
      <w:r>
        <w:rPr>
          <w:sz w:val="28"/>
          <w:szCs w:val="28"/>
          <w:highlight w:val="none"/>
        </w:rPr>
        <w:t>посещений  библиотек на 1 жителя в год</w:t>
      </w:r>
      <w:r>
        <w:rPr>
          <w:rFonts w:hint="default"/>
          <w:sz w:val="28"/>
          <w:szCs w:val="28"/>
          <w:highlight w:val="none"/>
          <w:lang w:val="ru-RU"/>
        </w:rPr>
        <w:t xml:space="preserve"> </w:t>
      </w:r>
      <w:r>
        <w:rPr>
          <w:sz w:val="28"/>
          <w:szCs w:val="28"/>
          <w:highlight w:val="none"/>
        </w:rPr>
        <w:t>составит 1</w:t>
      </w:r>
      <w:r>
        <w:rPr>
          <w:rFonts w:hint="default"/>
          <w:sz w:val="28"/>
          <w:szCs w:val="28"/>
          <w:highlight w:val="none"/>
          <w:lang w:val="ru-RU"/>
        </w:rPr>
        <w:t>2</w:t>
      </w:r>
      <w:r>
        <w:rPr>
          <w:sz w:val="28"/>
          <w:szCs w:val="28"/>
          <w:highlight w:val="none"/>
        </w:rPr>
        <w:t xml:space="preserve"> посещений </w:t>
      </w:r>
      <w:r>
        <w:rPr>
          <w:rFonts w:hint="default"/>
          <w:sz w:val="28"/>
          <w:szCs w:val="28"/>
          <w:highlight w:val="none"/>
          <w:lang w:val="ru-RU"/>
        </w:rPr>
        <w:t xml:space="preserve"> </w:t>
      </w:r>
      <w:r>
        <w:rPr>
          <w:sz w:val="28"/>
          <w:szCs w:val="28"/>
          <w:highlight w:val="none"/>
        </w:rPr>
        <w:t>;</w:t>
      </w:r>
    </w:p>
    <w:p w14:paraId="4E032923">
      <w:pPr>
        <w:spacing w:line="240" w:lineRule="auto"/>
        <w:ind w:firstLine="0"/>
        <w:rPr>
          <w:sz w:val="28"/>
          <w:szCs w:val="28"/>
          <w:highlight w:val="none"/>
        </w:rPr>
      </w:pPr>
      <w:r>
        <w:rPr>
          <w:sz w:val="28"/>
          <w:szCs w:val="28"/>
          <w:highlight w:val="none"/>
        </w:rPr>
        <w:t>- темп роста численности участников культурно-массовых мероприятий, проводимых учреждениями культурно-досугового типа</w:t>
      </w:r>
      <w:r>
        <w:rPr>
          <w:rFonts w:hint="default"/>
          <w:sz w:val="28"/>
          <w:szCs w:val="28"/>
          <w:highlight w:val="none"/>
          <w:lang w:val="ru-RU"/>
        </w:rPr>
        <w:t xml:space="preserve"> к предыдущему году</w:t>
      </w:r>
      <w:r>
        <w:rPr>
          <w:sz w:val="28"/>
          <w:szCs w:val="28"/>
          <w:highlight w:val="none"/>
        </w:rPr>
        <w:t xml:space="preserve"> составит 10</w:t>
      </w:r>
      <w:r>
        <w:rPr>
          <w:rFonts w:hint="default"/>
          <w:sz w:val="28"/>
          <w:szCs w:val="28"/>
          <w:highlight w:val="none"/>
          <w:lang w:val="ru-RU"/>
        </w:rPr>
        <w:t>7</w:t>
      </w:r>
      <w:r>
        <w:rPr>
          <w:sz w:val="28"/>
          <w:szCs w:val="28"/>
          <w:highlight w:val="none"/>
        </w:rPr>
        <w:t>%;</w:t>
      </w:r>
    </w:p>
    <w:p w14:paraId="1E6D8370">
      <w:pPr>
        <w:spacing w:line="240" w:lineRule="auto"/>
        <w:ind w:firstLine="0"/>
        <w:rPr>
          <w:sz w:val="28"/>
          <w:szCs w:val="28"/>
          <w:highlight w:val="none"/>
        </w:rPr>
      </w:pPr>
      <w:r>
        <w:rPr>
          <w:sz w:val="28"/>
          <w:szCs w:val="28"/>
          <w:highlight w:val="none"/>
        </w:rPr>
        <w:t xml:space="preserve">- посещаемость  музея </w:t>
      </w:r>
      <w:r>
        <w:rPr>
          <w:sz w:val="28"/>
          <w:szCs w:val="28"/>
          <w:highlight w:val="none"/>
          <w:lang w:val="ru-RU"/>
        </w:rPr>
        <w:t>на</w:t>
      </w:r>
      <w:r>
        <w:rPr>
          <w:rFonts w:hint="default"/>
          <w:sz w:val="28"/>
          <w:szCs w:val="28"/>
          <w:highlight w:val="none"/>
          <w:lang w:val="ru-RU"/>
        </w:rPr>
        <w:t xml:space="preserve"> 1000 человек </w:t>
      </w:r>
      <w:r>
        <w:rPr>
          <w:sz w:val="28"/>
          <w:szCs w:val="28"/>
          <w:highlight w:val="none"/>
        </w:rPr>
        <w:t xml:space="preserve">увеличится до </w:t>
      </w:r>
      <w:r>
        <w:rPr>
          <w:rFonts w:hint="default"/>
          <w:sz w:val="28"/>
          <w:szCs w:val="28"/>
          <w:highlight w:val="none"/>
          <w:lang w:val="ru-RU"/>
        </w:rPr>
        <w:t>600</w:t>
      </w:r>
      <w:r>
        <w:rPr>
          <w:sz w:val="28"/>
          <w:szCs w:val="28"/>
          <w:highlight w:val="none"/>
        </w:rPr>
        <w:t xml:space="preserve"> посещений ,</w:t>
      </w:r>
    </w:p>
    <w:p w14:paraId="1F28878E">
      <w:pPr>
        <w:spacing w:line="240" w:lineRule="auto"/>
        <w:ind w:firstLine="0"/>
        <w:rPr>
          <w:sz w:val="28"/>
          <w:szCs w:val="28"/>
          <w:highlight w:val="none"/>
        </w:rPr>
      </w:pPr>
      <w:r>
        <w:rPr>
          <w:sz w:val="28"/>
          <w:szCs w:val="28"/>
          <w:highlight w:val="none"/>
        </w:rPr>
        <w:t xml:space="preserve">- количество учащихся детской школы искусств </w:t>
      </w:r>
      <w:r>
        <w:rPr>
          <w:sz w:val="28"/>
          <w:szCs w:val="28"/>
          <w:highlight w:val="none"/>
          <w:lang w:val="ru-RU"/>
        </w:rPr>
        <w:t>составит</w:t>
      </w:r>
      <w:r>
        <w:rPr>
          <w:sz w:val="28"/>
          <w:szCs w:val="28"/>
          <w:highlight w:val="none"/>
        </w:rPr>
        <w:t xml:space="preserve"> </w:t>
      </w:r>
      <w:r>
        <w:rPr>
          <w:rFonts w:hint="default"/>
          <w:sz w:val="28"/>
          <w:szCs w:val="28"/>
          <w:highlight w:val="none"/>
          <w:lang w:val="ru-RU"/>
        </w:rPr>
        <w:t>50</w:t>
      </w:r>
      <w:r>
        <w:rPr>
          <w:sz w:val="28"/>
          <w:szCs w:val="28"/>
          <w:highlight w:val="none"/>
        </w:rPr>
        <w:t xml:space="preserve"> учащихся;</w:t>
      </w:r>
    </w:p>
    <w:p w14:paraId="32A81A0C">
      <w:pPr>
        <w:spacing w:line="240" w:lineRule="auto"/>
        <w:ind w:firstLine="0"/>
        <w:rPr>
          <w:rFonts w:eastAsia="SimSun"/>
          <w:sz w:val="28"/>
          <w:szCs w:val="28"/>
          <w:highlight w:val="none"/>
        </w:rPr>
      </w:pPr>
      <w:r>
        <w:rPr>
          <w:rFonts w:eastAsia="SimSun"/>
          <w:sz w:val="28"/>
          <w:szCs w:val="28"/>
          <w:highlight w:val="none"/>
        </w:rPr>
        <w:t>- рост численности туристов</w:t>
      </w:r>
      <w:r>
        <w:rPr>
          <w:rFonts w:hint="default"/>
          <w:sz w:val="28"/>
          <w:szCs w:val="28"/>
          <w:highlight w:val="none"/>
          <w:lang w:val="ru-RU"/>
        </w:rPr>
        <w:t xml:space="preserve"> к предыдущему году </w:t>
      </w:r>
      <w:r>
        <w:rPr>
          <w:rFonts w:eastAsia="SimSun"/>
          <w:sz w:val="28"/>
          <w:szCs w:val="28"/>
          <w:highlight w:val="none"/>
        </w:rPr>
        <w:t xml:space="preserve">ежегодно увеличится на </w:t>
      </w:r>
      <w:r>
        <w:rPr>
          <w:rFonts w:hint="default"/>
          <w:sz w:val="28"/>
          <w:szCs w:val="28"/>
          <w:highlight w:val="none"/>
          <w:lang w:val="ru-RU"/>
        </w:rPr>
        <w:t>4</w:t>
      </w:r>
      <w:r>
        <w:rPr>
          <w:rFonts w:eastAsia="SimSun"/>
          <w:sz w:val="28"/>
          <w:szCs w:val="28"/>
          <w:highlight w:val="none"/>
        </w:rPr>
        <w:t>%;</w:t>
      </w:r>
    </w:p>
    <w:p w14:paraId="0B8E8634">
      <w:pPr>
        <w:spacing w:line="240" w:lineRule="auto"/>
        <w:ind w:firstLine="0"/>
        <w:rPr>
          <w:rFonts w:hint="default"/>
          <w:sz w:val="28"/>
          <w:szCs w:val="28"/>
          <w:highlight w:val="none"/>
          <w:lang w:val="ru-RU"/>
        </w:rPr>
      </w:pPr>
      <w:r>
        <w:rPr>
          <w:rFonts w:eastAsia="SimSun"/>
          <w:sz w:val="28"/>
          <w:szCs w:val="28"/>
          <w:highlight w:val="none"/>
        </w:rPr>
        <w:t>- увеличение количества посещений учреждений культуры по отношению к 2020 году должно составить 5</w:t>
      </w:r>
      <w:r>
        <w:rPr>
          <w:rFonts w:hint="default"/>
          <w:sz w:val="28"/>
          <w:szCs w:val="28"/>
          <w:highlight w:val="none"/>
          <w:lang w:val="ru-RU"/>
        </w:rPr>
        <w:t>600</w:t>
      </w:r>
      <w:r>
        <w:rPr>
          <w:rFonts w:eastAsia="SimSun"/>
          <w:sz w:val="28"/>
          <w:szCs w:val="28"/>
          <w:highlight w:val="none"/>
        </w:rPr>
        <w:t>0</w:t>
      </w:r>
      <w:r>
        <w:rPr>
          <w:rFonts w:hint="default"/>
          <w:sz w:val="28"/>
          <w:szCs w:val="28"/>
          <w:highlight w:val="none"/>
          <w:lang w:val="ru-RU"/>
        </w:rPr>
        <w:t xml:space="preserve"> </w:t>
      </w:r>
      <w:r>
        <w:rPr>
          <w:rFonts w:eastAsia="SimSun"/>
          <w:sz w:val="28"/>
          <w:szCs w:val="28"/>
          <w:highlight w:val="none"/>
        </w:rPr>
        <w:t>человек</w:t>
      </w:r>
      <w:r>
        <w:rPr>
          <w:rFonts w:hint="default"/>
          <w:sz w:val="28"/>
          <w:szCs w:val="28"/>
          <w:highlight w:val="none"/>
          <w:lang w:val="ru-RU"/>
        </w:rPr>
        <w:t>;</w:t>
      </w:r>
    </w:p>
    <w:p w14:paraId="06E26F61">
      <w:pPr>
        <w:spacing w:line="240" w:lineRule="auto"/>
        <w:ind w:firstLine="0"/>
        <w:rPr>
          <w:rFonts w:hint="default" w:ascii="Times New Roman" w:hAnsi="Times New Roman" w:eastAsia="SimSun" w:cs="Times New Roman"/>
          <w:color w:val="000000"/>
          <w:kern w:val="0"/>
          <w:sz w:val="28"/>
          <w:szCs w:val="28"/>
          <w:highlight w:val="none"/>
          <w:lang w:val="en-US" w:eastAsia="zh-CN" w:bidi="ar"/>
        </w:rPr>
      </w:pPr>
      <w:r>
        <w:rPr>
          <w:rFonts w:hint="default"/>
          <w:sz w:val="28"/>
          <w:szCs w:val="28"/>
          <w:highlight w:val="none"/>
          <w:lang w:val="ru-RU"/>
        </w:rPr>
        <w:t>- к</w:t>
      </w:r>
      <w:r>
        <w:rPr>
          <w:rFonts w:hint="default" w:ascii="Times New Roman" w:hAnsi="Times New Roman" w:eastAsia="SimSun" w:cs="Times New Roman"/>
          <w:color w:val="000000"/>
          <w:kern w:val="0"/>
          <w:sz w:val="28"/>
          <w:szCs w:val="28"/>
          <w:highlight w:val="none"/>
          <w:lang w:val="en-US" w:eastAsia="zh-CN" w:bidi="ar"/>
        </w:rPr>
        <w:t xml:space="preserve">оличество посещений организаций культуры по отношению к уровню 2017 года (в части посещений библиотек) </w:t>
      </w:r>
      <w:r>
        <w:rPr>
          <w:rFonts w:hint="default" w:ascii="Times New Roman" w:hAnsi="Times New Roman" w:cs="Times New Roman"/>
          <w:color w:val="000000"/>
          <w:kern w:val="0"/>
          <w:sz w:val="28"/>
          <w:szCs w:val="28"/>
          <w:highlight w:val="none"/>
          <w:lang w:val="ru-RU" w:eastAsia="zh-CN" w:bidi="ar"/>
        </w:rPr>
        <w:t xml:space="preserve">составит </w:t>
      </w:r>
      <w:r>
        <w:rPr>
          <w:rFonts w:hint="default" w:ascii="Times New Roman" w:hAnsi="Times New Roman" w:eastAsia="SimSun" w:cs="Times New Roman"/>
          <w:color w:val="000000"/>
          <w:kern w:val="0"/>
          <w:sz w:val="28"/>
          <w:szCs w:val="28"/>
          <w:highlight w:val="none"/>
          <w:lang w:val="en-US" w:eastAsia="zh-CN" w:bidi="ar"/>
        </w:rPr>
        <w:t>11</w:t>
      </w:r>
      <w:r>
        <w:rPr>
          <w:rFonts w:hint="default" w:ascii="Times New Roman" w:hAnsi="Times New Roman" w:cs="Times New Roman"/>
          <w:color w:val="000000"/>
          <w:kern w:val="0"/>
          <w:sz w:val="28"/>
          <w:szCs w:val="28"/>
          <w:highlight w:val="none"/>
          <w:lang w:val="ru-RU" w:eastAsia="zh-CN" w:bidi="ar"/>
        </w:rPr>
        <w:t>6</w:t>
      </w:r>
      <w:r>
        <w:rPr>
          <w:rFonts w:hint="default" w:ascii="Times New Roman" w:hAnsi="Times New Roman" w:eastAsia="SimSun" w:cs="Times New Roman"/>
          <w:color w:val="000000"/>
          <w:kern w:val="0"/>
          <w:sz w:val="28"/>
          <w:szCs w:val="28"/>
          <w:highlight w:val="none"/>
          <w:lang w:val="en-US" w:eastAsia="zh-CN" w:bidi="ar"/>
        </w:rPr>
        <w:t xml:space="preserve"> %.</w:t>
      </w:r>
    </w:p>
    <w:p w14:paraId="73F12A10">
      <w:pPr>
        <w:spacing w:line="240" w:lineRule="auto"/>
        <w:ind w:firstLine="0"/>
        <w:rPr>
          <w:rFonts w:hint="default"/>
          <w:sz w:val="28"/>
          <w:szCs w:val="28"/>
          <w:highlight w:val="none"/>
          <w:lang w:val="ru-RU"/>
        </w:rPr>
      </w:pPr>
      <w:r>
        <w:rPr>
          <w:rFonts w:hint="default" w:ascii="Times New Roman" w:hAnsi="Times New Roman" w:cs="Times New Roman"/>
          <w:color w:val="000000"/>
          <w:kern w:val="0"/>
          <w:sz w:val="28"/>
          <w:szCs w:val="28"/>
          <w:highlight w:val="none"/>
          <w:lang w:val="ru-RU" w:eastAsia="zh-CN" w:bidi="ar"/>
        </w:rPr>
        <w:t xml:space="preserve">- </w:t>
      </w:r>
      <w:r>
        <w:rPr>
          <w:rFonts w:hint="default"/>
          <w:sz w:val="28"/>
          <w:szCs w:val="28"/>
          <w:highlight w:val="none"/>
          <w:lang w:val="ru-RU"/>
        </w:rPr>
        <w:t>уровень удовлетворённости граждан работой государственных и муниципальных организаций культуры, искусства и народного творчества составит 68,6%.</w:t>
      </w:r>
    </w:p>
    <w:p w14:paraId="501E68DD">
      <w:pPr>
        <w:rPr>
          <w:szCs w:val="28"/>
        </w:rPr>
      </w:pPr>
      <w:r>
        <w:rPr>
          <w:szCs w:val="28"/>
        </w:rPr>
        <w:t>Срок реализации муниципальной программы  2022-202</w:t>
      </w:r>
      <w:r>
        <w:rPr>
          <w:rFonts w:hint="default"/>
          <w:szCs w:val="28"/>
          <w:lang w:val="ru-RU"/>
        </w:rPr>
        <w:t>8</w:t>
      </w:r>
      <w:r>
        <w:rPr>
          <w:szCs w:val="28"/>
        </w:rPr>
        <w:t xml:space="preserve"> годы, разбивка на этапы не предусматривается.</w:t>
      </w:r>
    </w:p>
    <w:p w14:paraId="75161B5D">
      <w:pPr>
        <w:tabs>
          <w:tab w:val="left" w:pos="5850"/>
        </w:tabs>
        <w:suppressAutoHyphens/>
        <w:spacing w:after="200" w:line="276" w:lineRule="auto"/>
        <w:ind w:firstLine="0"/>
        <w:jc w:val="left"/>
        <w:rPr>
          <w:rFonts w:eastAsia="SimSun"/>
          <w:szCs w:val="28"/>
        </w:rPr>
      </w:pPr>
    </w:p>
    <w:p w14:paraId="603F2356">
      <w:pPr>
        <w:jc w:val="center"/>
        <w:rPr>
          <w:b/>
          <w:szCs w:val="28"/>
        </w:rPr>
      </w:pPr>
      <w:r>
        <w:rPr>
          <w:b/>
          <w:szCs w:val="28"/>
        </w:rPr>
        <w:t xml:space="preserve">3. </w:t>
      </w:r>
      <w:r>
        <w:rPr>
          <w:b/>
          <w:szCs w:val="28"/>
          <w:lang w:val="ru-RU"/>
        </w:rPr>
        <w:t>Обобщённая</w:t>
      </w:r>
      <w:r>
        <w:rPr>
          <w:b/>
          <w:szCs w:val="28"/>
        </w:rPr>
        <w:t xml:space="preserve"> характеристика мероприятий </w:t>
      </w:r>
    </w:p>
    <w:p w14:paraId="155FEFEE">
      <w:pPr>
        <w:jc w:val="center"/>
        <w:rPr>
          <w:b/>
          <w:szCs w:val="28"/>
        </w:rPr>
      </w:pPr>
      <w:r>
        <w:rPr>
          <w:b/>
          <w:szCs w:val="28"/>
        </w:rPr>
        <w:t>муниципальной программы</w:t>
      </w:r>
    </w:p>
    <w:p w14:paraId="5F1033FE">
      <w:pPr>
        <w:rPr>
          <w:szCs w:val="28"/>
        </w:rPr>
      </w:pPr>
    </w:p>
    <w:p w14:paraId="37C00D56">
      <w:pPr>
        <w:rPr>
          <w:szCs w:val="28"/>
        </w:rPr>
      </w:pPr>
      <w:r>
        <w:rPr>
          <w:szCs w:val="28"/>
        </w:rPr>
        <w:t xml:space="preserve">Цель и задачи муниципальной программы будут достигаться </w:t>
      </w:r>
      <w:r>
        <w:rPr>
          <w:szCs w:val="28"/>
          <w:lang w:val="ru-RU"/>
        </w:rPr>
        <w:t>путём</w:t>
      </w:r>
      <w:r>
        <w:rPr>
          <w:szCs w:val="28"/>
        </w:rPr>
        <w:t xml:space="preserve"> реализации мероприятий муниципальной программы:</w:t>
      </w:r>
    </w:p>
    <w:p w14:paraId="42B69BDA">
      <w:pPr>
        <w:rPr>
          <w:b/>
          <w:szCs w:val="28"/>
        </w:rPr>
      </w:pPr>
      <w:r>
        <w:rPr>
          <w:b/>
          <w:szCs w:val="28"/>
        </w:rPr>
        <w:t>Организация библиотечно-информационного  обслуживания населения Лебяжского муниципального округа:</w:t>
      </w:r>
    </w:p>
    <w:p w14:paraId="6C2565A1">
      <w:pPr>
        <w:ind w:firstLine="0"/>
        <w:rPr>
          <w:szCs w:val="28"/>
        </w:rPr>
      </w:pPr>
      <w:r>
        <w:rPr>
          <w:szCs w:val="28"/>
        </w:rPr>
        <w:t>-расходы на оплату труда работников библиотек муниципального округа;</w:t>
      </w:r>
    </w:p>
    <w:p w14:paraId="0AC2086C">
      <w:pPr>
        <w:ind w:firstLine="0"/>
        <w:rPr>
          <w:szCs w:val="28"/>
        </w:rPr>
      </w:pPr>
      <w:r>
        <w:rPr>
          <w:szCs w:val="28"/>
        </w:rPr>
        <w:t>-комплектование книжного фонда;</w:t>
      </w:r>
    </w:p>
    <w:p w14:paraId="0FD855D3">
      <w:pPr>
        <w:ind w:firstLine="0"/>
        <w:rPr>
          <w:rFonts w:hint="default"/>
          <w:szCs w:val="28"/>
          <w:lang w:val="ru-RU"/>
        </w:rPr>
      </w:pPr>
      <w:r>
        <w:rPr>
          <w:szCs w:val="28"/>
        </w:rPr>
        <w:t>-коммунальные услуги, оплата налогов, обязательных платежей, организации -командировок, услуг связи, канцтовары</w:t>
      </w:r>
      <w:r>
        <w:rPr>
          <w:rFonts w:hint="default"/>
          <w:szCs w:val="28"/>
          <w:lang w:val="ru-RU"/>
        </w:rPr>
        <w:t>;</w:t>
      </w:r>
    </w:p>
    <w:p w14:paraId="33E28DF6">
      <w:pPr>
        <w:ind w:firstLine="0"/>
        <w:rPr>
          <w:szCs w:val="28"/>
        </w:rPr>
      </w:pPr>
      <w:r>
        <w:rPr>
          <w:rFonts w:hint="default"/>
          <w:szCs w:val="28"/>
          <w:lang w:val="ru-RU"/>
        </w:rPr>
        <w:t>-</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szCs w:val="28"/>
        </w:rPr>
        <w:t>.</w:t>
      </w:r>
    </w:p>
    <w:p w14:paraId="67612325">
      <w:pPr>
        <w:rPr>
          <w:b/>
          <w:szCs w:val="28"/>
        </w:rPr>
      </w:pPr>
      <w:r>
        <w:rPr>
          <w:b/>
          <w:szCs w:val="28"/>
        </w:rPr>
        <w:t>Развитие  и поддержка культурно-досуговой, концертной деятельности и народного творчества в Лебяжском муниципальном округе:</w:t>
      </w:r>
    </w:p>
    <w:p w14:paraId="202FB1D4">
      <w:pPr>
        <w:ind w:firstLine="0"/>
        <w:rPr>
          <w:szCs w:val="28"/>
        </w:rPr>
      </w:pPr>
      <w:r>
        <w:rPr>
          <w:szCs w:val="28"/>
        </w:rPr>
        <w:t>- расходы на оплату труда работников культурно-досуговых учреждений муниципального округа;</w:t>
      </w:r>
    </w:p>
    <w:p w14:paraId="0EF77164">
      <w:pPr>
        <w:ind w:firstLine="0"/>
        <w:rPr>
          <w:szCs w:val="28"/>
        </w:rPr>
      </w:pPr>
      <w:r>
        <w:rPr>
          <w:szCs w:val="28"/>
        </w:rPr>
        <w:t>- обеспечение творческой деятельности граждан посредством организации и поддержки самодеятельных артистов и коллективов: участие в конкурсах и фестивалях, концертная деятельность, организация выставок народных умельцев;</w:t>
      </w:r>
    </w:p>
    <w:p w14:paraId="388304C5">
      <w:pPr>
        <w:ind w:firstLine="0"/>
        <w:rPr>
          <w:rFonts w:hint="default"/>
          <w:szCs w:val="28"/>
          <w:lang w:val="ru-RU"/>
        </w:rPr>
      </w:pPr>
      <w:r>
        <w:rPr>
          <w:szCs w:val="28"/>
        </w:rPr>
        <w:t>- создание условий для равного доступа к культурным благам и культурно-досуговой деятельности: обеспечение безопасности и защита зданий, приобретение оборудования и техническое оснащение</w:t>
      </w:r>
      <w:r>
        <w:rPr>
          <w:rFonts w:hint="default"/>
          <w:szCs w:val="28"/>
          <w:lang w:val="ru-RU"/>
        </w:rPr>
        <w:t>;</w:t>
      </w:r>
    </w:p>
    <w:p w14:paraId="47F5E8E6">
      <w:pPr>
        <w:ind w:firstLine="0"/>
        <w:rPr>
          <w:rFonts w:hint="default" w:cs="Times New Roman"/>
          <w:sz w:val="28"/>
          <w:szCs w:val="28"/>
          <w:lang w:val="ru-RU"/>
        </w:rPr>
      </w:pPr>
      <w:r>
        <w:rPr>
          <w:rFonts w:hint="default"/>
          <w:szCs w:val="28"/>
          <w:lang w:val="ru-RU"/>
        </w:rPr>
        <w:t xml:space="preserve">- </w:t>
      </w:r>
      <w:r>
        <w:rPr>
          <w:rFonts w:ascii="Times New Roman" w:hAnsi="Times New Roman" w:cs="Times New Roman"/>
          <w:sz w:val="28"/>
          <w:szCs w:val="28"/>
        </w:rPr>
        <w:t>обеспечени</w:t>
      </w:r>
      <w:r>
        <w:rPr>
          <w:rFonts w:ascii="Times New Roman" w:hAnsi="Times New Roman" w:cs="Times New Roman"/>
          <w:sz w:val="28"/>
          <w:szCs w:val="28"/>
          <w:lang w:val="ru-RU"/>
        </w:rPr>
        <w:t>е</w:t>
      </w:r>
      <w:r>
        <w:rPr>
          <w:rFonts w:ascii="Times New Roman" w:hAnsi="Times New Roman" w:cs="Times New Roman"/>
          <w:sz w:val="28"/>
          <w:szCs w:val="28"/>
        </w:rPr>
        <w:t xml:space="preserve"> учреждений культуры Кировской области специализированным автотранспортом для обслуживания населения, в том числе сельского населения</w:t>
      </w:r>
      <w:r>
        <w:rPr>
          <w:rFonts w:hint="default" w:cs="Times New Roman"/>
          <w:sz w:val="28"/>
          <w:szCs w:val="28"/>
          <w:lang w:val="ru-RU"/>
        </w:rPr>
        <w:t>;</w:t>
      </w:r>
    </w:p>
    <w:p w14:paraId="0C390E65">
      <w:pPr>
        <w:ind w:firstLine="0"/>
        <w:rPr>
          <w:rFonts w:hint="default" w:cs="Times New Roman"/>
          <w:i w:val="0"/>
          <w:iCs w:val="0"/>
          <w:color w:val="000000"/>
          <w:kern w:val="0"/>
          <w:sz w:val="28"/>
          <w:szCs w:val="28"/>
          <w:u w:val="none"/>
          <w:lang w:val="ru-RU" w:eastAsia="zh-CN" w:bidi="ar"/>
        </w:rPr>
      </w:pPr>
      <w:r>
        <w:rPr>
          <w:rFonts w:hint="default" w:cs="Times New Roman"/>
          <w:sz w:val="28"/>
          <w:szCs w:val="28"/>
          <w:lang w:val="ru-RU"/>
        </w:rPr>
        <w:t xml:space="preserve">- </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rFonts w:hint="default" w:cs="Times New Roman"/>
          <w:i w:val="0"/>
          <w:iCs w:val="0"/>
          <w:color w:val="000000"/>
          <w:kern w:val="0"/>
          <w:sz w:val="28"/>
          <w:szCs w:val="28"/>
          <w:u w:val="none"/>
          <w:lang w:val="ru-RU" w:eastAsia="zh-CN" w:bidi="ar"/>
        </w:rPr>
        <w:t>;</w:t>
      </w:r>
    </w:p>
    <w:p w14:paraId="061AD8DC">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п</w:t>
      </w:r>
      <w:r>
        <w:rPr>
          <w:rFonts w:hint="default" w:ascii="Times New Roman" w:hAnsi="Times New Roman" w:cs="Times New Roman"/>
          <w:sz w:val="28"/>
          <w:szCs w:val="28"/>
        </w:rPr>
        <w:t>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p w14:paraId="68C47122">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материально - технической базы Лебяжского Дома культуры</w:t>
      </w:r>
      <w:r>
        <w:rPr>
          <w:rFonts w:hint="default" w:cs="Times New Roman"/>
          <w:i w:val="0"/>
          <w:iCs w:val="0"/>
          <w:color w:val="000000"/>
          <w:kern w:val="0"/>
          <w:sz w:val="28"/>
          <w:szCs w:val="28"/>
          <w:u w:val="none"/>
          <w:lang w:val="ru-RU" w:eastAsia="zh-CN" w:bidi="ar"/>
        </w:rPr>
        <w:t>;</w:t>
      </w:r>
    </w:p>
    <w:p w14:paraId="1750F9BF">
      <w:pPr>
        <w:ind w:firstLine="0"/>
        <w:rPr>
          <w:rFonts w:hint="default" w:cs="Times New Roman"/>
          <w:i w:val="0"/>
          <w:iCs w:val="0"/>
          <w:color w:val="000000"/>
          <w:kern w:val="0"/>
          <w:sz w:val="28"/>
          <w:szCs w:val="28"/>
          <w:u w:val="none"/>
          <w:lang w:val="ru-RU" w:eastAsia="zh-CN" w:bidi="ar"/>
        </w:rPr>
      </w:pPr>
      <w:r>
        <w:rPr>
          <w:rFonts w:hint="default" w:cs="Times New Roman"/>
          <w:i w:val="0"/>
          <w:iCs w:val="0"/>
          <w:color w:val="000000"/>
          <w:kern w:val="0"/>
          <w:sz w:val="28"/>
          <w:szCs w:val="28"/>
          <w:u w:val="none"/>
          <w:lang w:val="ru-RU" w:eastAsia="zh-CN" w:bidi="ar"/>
        </w:rPr>
        <w:t xml:space="preserve">-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r>
        <w:rPr>
          <w:rFonts w:hint="default" w:cs="Times New Roman"/>
          <w:i w:val="0"/>
          <w:iCs w:val="0"/>
          <w:color w:val="000000"/>
          <w:kern w:val="0"/>
          <w:sz w:val="28"/>
          <w:szCs w:val="28"/>
          <w:u w:val="none"/>
          <w:lang w:val="ru-RU" w:eastAsia="zh-CN" w:bidi="ar"/>
        </w:rPr>
        <w:t>;</w:t>
      </w:r>
    </w:p>
    <w:p w14:paraId="3BFE9C4B">
      <w:pPr>
        <w:ind w:firstLine="0"/>
        <w:rPr>
          <w:rFonts w:hint="default"/>
          <w:szCs w:val="28"/>
          <w:lang w:val="ru-RU"/>
        </w:rPr>
      </w:pPr>
      <w:r>
        <w:rPr>
          <w:rFonts w:hint="default" w:cs="Times New Roman"/>
          <w:i w:val="0"/>
          <w:iCs w:val="0"/>
          <w:color w:val="000000"/>
          <w:kern w:val="0"/>
          <w:sz w:val="28"/>
          <w:szCs w:val="28"/>
          <w:u w:val="none"/>
          <w:lang w:val="ru-RU" w:eastAsia="zh-CN" w:bidi="ar"/>
        </w:rPr>
        <w:t xml:space="preserve">- </w:t>
      </w:r>
      <w:r>
        <w:rPr>
          <w:rFonts w:hint="default" w:ascii="Times New Roman" w:hAnsi="Times New Roman" w:cs="Times New Roman"/>
          <w:i w:val="0"/>
          <w:iCs w:val="0"/>
          <w:color w:val="000000"/>
          <w:kern w:val="0"/>
          <w:sz w:val="28"/>
          <w:szCs w:val="28"/>
          <w:u w:val="none"/>
          <w:lang w:val="ru-RU"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r>
        <w:rPr>
          <w:rFonts w:hint="default" w:cs="Times New Roman"/>
          <w:sz w:val="28"/>
          <w:szCs w:val="28"/>
          <w:lang w:val="ru-RU"/>
        </w:rPr>
        <w:t>.</w:t>
      </w:r>
    </w:p>
    <w:p w14:paraId="3B9490D0">
      <w:pPr>
        <w:ind w:firstLine="0"/>
        <w:rPr>
          <w:b/>
          <w:szCs w:val="28"/>
        </w:rPr>
      </w:pPr>
      <w:r>
        <w:rPr>
          <w:szCs w:val="28"/>
        </w:rPr>
        <w:tab/>
      </w:r>
      <w:r>
        <w:rPr>
          <w:b/>
          <w:szCs w:val="28"/>
        </w:rPr>
        <w:t>Организация  музейного дела в Лебяжском муниципальном округе:</w:t>
      </w:r>
    </w:p>
    <w:p w14:paraId="76E1A2A4">
      <w:pPr>
        <w:ind w:firstLine="0"/>
        <w:rPr>
          <w:szCs w:val="28"/>
        </w:rPr>
      </w:pPr>
      <w:r>
        <w:rPr>
          <w:szCs w:val="28"/>
        </w:rPr>
        <w:t>-расходы на оплату труда работников музея;</w:t>
      </w:r>
    </w:p>
    <w:p w14:paraId="24353A15">
      <w:pPr>
        <w:ind w:firstLine="0"/>
        <w:rPr>
          <w:szCs w:val="28"/>
        </w:rPr>
      </w:pPr>
      <w:r>
        <w:rPr>
          <w:szCs w:val="28"/>
        </w:rPr>
        <w:t>-модернизация и обеспечение инновационного развития музея;</w:t>
      </w:r>
    </w:p>
    <w:p w14:paraId="57AA4D15">
      <w:pPr>
        <w:ind w:firstLine="0"/>
        <w:rPr>
          <w:szCs w:val="28"/>
        </w:rPr>
      </w:pPr>
      <w:r>
        <w:rPr>
          <w:szCs w:val="28"/>
        </w:rPr>
        <w:t>-создание новых экспозиций;</w:t>
      </w:r>
    </w:p>
    <w:p w14:paraId="715AF107">
      <w:pPr>
        <w:ind w:firstLine="0"/>
        <w:rPr>
          <w:rFonts w:hint="default"/>
          <w:szCs w:val="28"/>
          <w:lang w:val="ru-RU"/>
        </w:rPr>
      </w:pPr>
      <w:r>
        <w:rPr>
          <w:szCs w:val="28"/>
        </w:rPr>
        <w:t>-обеспечение условий для сохранности, функционирования и развития музейного фонда</w:t>
      </w:r>
      <w:r>
        <w:rPr>
          <w:rFonts w:hint="default"/>
          <w:szCs w:val="28"/>
          <w:lang w:val="ru-RU"/>
        </w:rPr>
        <w:t>;</w:t>
      </w:r>
    </w:p>
    <w:p w14:paraId="44937D41">
      <w:pPr>
        <w:ind w:firstLine="0"/>
        <w:rPr>
          <w:rFonts w:hint="default" w:cs="Times New Roman"/>
          <w:sz w:val="28"/>
          <w:szCs w:val="28"/>
          <w:lang w:val="ru-RU"/>
        </w:rPr>
      </w:pPr>
      <w:r>
        <w:rPr>
          <w:rFonts w:hint="default" w:ascii="Times New Roman" w:hAnsi="Times New Roman" w:cs="Times New Roman"/>
          <w:sz w:val="28"/>
          <w:szCs w:val="28"/>
          <w:lang w:val="ru-RU"/>
        </w:rPr>
        <w:t xml:space="preserve">- техническое оснащение </w:t>
      </w:r>
      <w:r>
        <w:rPr>
          <w:rFonts w:hint="default" w:cs="Times New Roman"/>
          <w:sz w:val="28"/>
          <w:szCs w:val="28"/>
          <w:lang w:val="ru-RU"/>
        </w:rPr>
        <w:t xml:space="preserve">муниципальных </w:t>
      </w:r>
      <w:r>
        <w:rPr>
          <w:rFonts w:hint="default" w:ascii="Times New Roman" w:hAnsi="Times New Roman" w:cs="Times New Roman"/>
          <w:sz w:val="28"/>
          <w:szCs w:val="28"/>
          <w:lang w:val="ru-RU"/>
        </w:rPr>
        <w:t>музеев</w:t>
      </w:r>
      <w:r>
        <w:rPr>
          <w:rFonts w:hint="default" w:cs="Times New Roman"/>
          <w:sz w:val="28"/>
          <w:szCs w:val="28"/>
          <w:lang w:val="ru-RU"/>
        </w:rPr>
        <w:t>;</w:t>
      </w:r>
    </w:p>
    <w:p w14:paraId="1E8E65A4">
      <w:pPr>
        <w:ind w:firstLine="0"/>
        <w:rPr>
          <w:rFonts w:hint="default"/>
          <w:szCs w:val="28"/>
          <w:lang w:val="ru-RU"/>
        </w:rPr>
      </w:pPr>
      <w:r>
        <w:rPr>
          <w:rFonts w:hint="default" w:cs="Times New Roman"/>
          <w:sz w:val="28"/>
          <w:szCs w:val="28"/>
          <w:lang w:val="ru-RU"/>
        </w:rPr>
        <w:t>-</w:t>
      </w:r>
      <w:r>
        <w:rPr>
          <w:rFonts w:hint="default" w:ascii="Times New Roman" w:hAnsi="Times New Roman" w:eastAsia="SimSun" w:cs="Times New Roman"/>
          <w:i w:val="0"/>
          <w:iCs w:val="0"/>
          <w:color w:val="000000"/>
          <w:kern w:val="0"/>
          <w:sz w:val="28"/>
          <w:szCs w:val="28"/>
          <w:u w:val="none"/>
          <w:lang w:val="en-US" w:eastAsia="zh-CN" w:bidi="ar"/>
        </w:rPr>
        <w:t>иные межбюджетные трансферты</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местным бю</w:t>
      </w:r>
      <w:r>
        <w:rPr>
          <w:rFonts w:hint="default" w:ascii="Times New Roman" w:hAnsi="Times New Roman" w:cs="Times New Roman"/>
          <w:i w:val="0"/>
          <w:iCs w:val="0"/>
          <w:color w:val="000000"/>
          <w:kern w:val="0"/>
          <w:sz w:val="28"/>
          <w:szCs w:val="28"/>
          <w:u w:val="none"/>
          <w:lang w:val="ru-RU" w:eastAsia="zh-CN" w:bidi="ar"/>
        </w:rPr>
        <w:t>д</w:t>
      </w:r>
      <w:r>
        <w:rPr>
          <w:rFonts w:hint="default" w:ascii="Times New Roman" w:hAnsi="Times New Roman" w:eastAsia="SimSun" w:cs="Times New Roman"/>
          <w:i w:val="0"/>
          <w:iCs w:val="0"/>
          <w:color w:val="000000"/>
          <w:kern w:val="0"/>
          <w:sz w:val="28"/>
          <w:szCs w:val="28"/>
          <w:u w:val="none"/>
          <w:lang w:val="en-US" w:eastAsia="zh-CN" w:bidi="ar"/>
        </w:rPr>
        <w:t>жетам из фонда</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поддержки инициатив населения на реализацию инициатив населения в области культуры - на приобретение мебели для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28"/>
          <w:szCs w:val="28"/>
          <w:u w:val="none"/>
          <w:lang w:val="ru-RU" w:eastAsia="zh-CN" w:bidi="ar"/>
        </w:rPr>
        <w:t>казённого</w:t>
      </w:r>
      <w:r>
        <w:rPr>
          <w:rFonts w:hint="default" w:ascii="Times New Roman" w:hAnsi="Times New Roman" w:eastAsia="SimSun" w:cs="Times New Roman"/>
          <w:i w:val="0"/>
          <w:iCs w:val="0"/>
          <w:color w:val="000000"/>
          <w:kern w:val="0"/>
          <w:sz w:val="28"/>
          <w:szCs w:val="28"/>
          <w:u w:val="none"/>
          <w:lang w:val="en-US" w:eastAsia="zh-CN" w:bidi="ar"/>
        </w:rPr>
        <w:t xml:space="preserve"> учреждения "Централизованная</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клубная система" Лебяжского</w:t>
      </w:r>
      <w:r>
        <w:rPr>
          <w:rFonts w:hint="default" w:ascii="Times New Roman" w:hAnsi="Times New Roman" w:cs="Times New Roman"/>
          <w:i w:val="0"/>
          <w:iCs w:val="0"/>
          <w:color w:val="000000"/>
          <w:kern w:val="0"/>
          <w:sz w:val="28"/>
          <w:szCs w:val="28"/>
          <w:u w:val="none"/>
          <w:lang w:val="ru-RU" w:eastAsia="zh-CN" w:bidi="ar"/>
        </w:rPr>
        <w:t xml:space="preserve"> </w:t>
      </w:r>
      <w:r>
        <w:rPr>
          <w:rFonts w:hint="default" w:ascii="Times New Roman" w:hAnsi="Times New Roman" w:eastAsia="SimSun" w:cs="Times New Roman"/>
          <w:i w:val="0"/>
          <w:iCs w:val="0"/>
          <w:color w:val="000000"/>
          <w:kern w:val="0"/>
          <w:sz w:val="28"/>
          <w:szCs w:val="28"/>
          <w:u w:val="none"/>
          <w:lang w:val="en-US" w:eastAsia="zh-CN" w:bidi="ar"/>
        </w:rPr>
        <w:t>муниципального окру</w:t>
      </w:r>
      <w:r>
        <w:rPr>
          <w:rFonts w:hint="default" w:ascii="Times New Roman" w:hAnsi="Times New Roman" w:cs="Times New Roman"/>
          <w:i w:val="0"/>
          <w:iCs w:val="0"/>
          <w:color w:val="000000"/>
          <w:kern w:val="0"/>
          <w:sz w:val="28"/>
          <w:szCs w:val="28"/>
          <w:u w:val="none"/>
          <w:lang w:val="ru-RU" w:eastAsia="zh-CN" w:bidi="ar"/>
        </w:rPr>
        <w:t>га</w:t>
      </w:r>
      <w:r>
        <w:rPr>
          <w:rFonts w:hint="default" w:ascii="Times New Roman" w:hAnsi="Times New Roman" w:cs="Times New Roman"/>
          <w:sz w:val="28"/>
          <w:szCs w:val="28"/>
          <w:lang w:val="ru-RU"/>
        </w:rPr>
        <w:t>.</w:t>
      </w:r>
    </w:p>
    <w:p w14:paraId="2F6686DB">
      <w:pPr>
        <w:rPr>
          <w:b/>
          <w:szCs w:val="28"/>
        </w:rPr>
      </w:pPr>
      <w:r>
        <w:rPr>
          <w:szCs w:val="28"/>
        </w:rPr>
        <w:t xml:space="preserve"> </w:t>
      </w:r>
      <w:r>
        <w:rPr>
          <w:b/>
          <w:szCs w:val="28"/>
        </w:rPr>
        <w:t>Организация дополнительного образования детей в детской школе искусств:</w:t>
      </w:r>
    </w:p>
    <w:p w14:paraId="7328E682">
      <w:pPr>
        <w:ind w:firstLine="0"/>
        <w:rPr>
          <w:szCs w:val="28"/>
        </w:rPr>
      </w:pPr>
      <w:r>
        <w:rPr>
          <w:szCs w:val="28"/>
        </w:rPr>
        <w:t>-расходы на оплату труда работников школы искусств;</w:t>
      </w:r>
    </w:p>
    <w:p w14:paraId="3697F96E">
      <w:pPr>
        <w:ind w:firstLine="0"/>
        <w:rPr>
          <w:szCs w:val="28"/>
        </w:rPr>
      </w:pPr>
      <w:r>
        <w:rPr>
          <w:szCs w:val="28"/>
        </w:rPr>
        <w:t xml:space="preserve">-выявление </w:t>
      </w:r>
      <w:r>
        <w:rPr>
          <w:szCs w:val="28"/>
          <w:lang w:val="ru-RU"/>
        </w:rPr>
        <w:t>одарённых</w:t>
      </w:r>
      <w:r>
        <w:rPr>
          <w:szCs w:val="28"/>
        </w:rPr>
        <w:t xml:space="preserve"> детей и подростков: участие коллективов школы  в конкурсах и фестивалях;</w:t>
      </w:r>
    </w:p>
    <w:p w14:paraId="67D624B3">
      <w:pPr>
        <w:ind w:firstLine="0"/>
        <w:rPr>
          <w:szCs w:val="28"/>
        </w:rPr>
      </w:pPr>
      <w:r>
        <w:rPr>
          <w:szCs w:val="28"/>
        </w:rPr>
        <w:t>-организация концертной деятельности;</w:t>
      </w:r>
    </w:p>
    <w:p w14:paraId="231DC520">
      <w:pPr>
        <w:ind w:firstLine="0"/>
        <w:rPr>
          <w:szCs w:val="28"/>
        </w:rPr>
      </w:pPr>
      <w:r>
        <w:rPr>
          <w:szCs w:val="28"/>
        </w:rPr>
        <w:t>-приобретение концертных костюмов;</w:t>
      </w:r>
    </w:p>
    <w:p w14:paraId="56BDC43E">
      <w:pPr>
        <w:ind w:firstLine="0"/>
        <w:rPr>
          <w:szCs w:val="28"/>
        </w:rPr>
      </w:pPr>
      <w:r>
        <w:rPr>
          <w:szCs w:val="28"/>
        </w:rPr>
        <w:t>-совершенствование материально-технической базы и методического обеспечения;</w:t>
      </w:r>
    </w:p>
    <w:p w14:paraId="2A3B04AE">
      <w:pPr>
        <w:ind w:firstLine="0"/>
        <w:rPr>
          <w:szCs w:val="28"/>
        </w:rPr>
      </w:pPr>
      <w:r>
        <w:rPr>
          <w:szCs w:val="28"/>
        </w:rPr>
        <w:t>-приобретение музыкальных инструментов;</w:t>
      </w:r>
    </w:p>
    <w:p w14:paraId="06F3967B">
      <w:pPr>
        <w:ind w:firstLine="0"/>
        <w:rPr>
          <w:szCs w:val="28"/>
        </w:rPr>
      </w:pPr>
      <w:r>
        <w:rPr>
          <w:szCs w:val="28"/>
        </w:rPr>
        <w:t>-приобретение методической литературы.</w:t>
      </w:r>
    </w:p>
    <w:p w14:paraId="13E1E03F">
      <w:pPr>
        <w:rPr>
          <w:b/>
          <w:szCs w:val="28"/>
        </w:rPr>
      </w:pPr>
    </w:p>
    <w:p w14:paraId="1CFAD61E">
      <w:pPr>
        <w:rPr>
          <w:b/>
          <w:szCs w:val="28"/>
        </w:rPr>
      </w:pPr>
      <w:r>
        <w:rPr>
          <w:b/>
          <w:szCs w:val="28"/>
        </w:rPr>
        <w:t>Организация и ведение бухгалтерского учёта в учреждениях культуры Лебяжского муниципального округа:</w:t>
      </w:r>
    </w:p>
    <w:p w14:paraId="42C5626A">
      <w:pPr>
        <w:ind w:firstLine="0"/>
        <w:rPr>
          <w:szCs w:val="28"/>
        </w:rPr>
      </w:pPr>
      <w:r>
        <w:rPr>
          <w:szCs w:val="28"/>
        </w:rPr>
        <w:t>-функционирование централизованной бухгалтерии управления по культуре, физкультуре и делам молодёжи: расходы на оплату труда работников централизованной бухгалтерии, расходы на обеспечение современными информационными технологиями, бухгалтерскими программами;</w:t>
      </w:r>
    </w:p>
    <w:p w14:paraId="6AB1DC96">
      <w:pPr>
        <w:ind w:firstLine="0"/>
        <w:rPr>
          <w:szCs w:val="28"/>
        </w:rPr>
      </w:pPr>
      <w:r>
        <w:rPr>
          <w:szCs w:val="28"/>
        </w:rPr>
        <w:t>- обеспечение материально-технической базы и обеспечение безопасности информации, хранящейся в бухгалтерии.</w:t>
      </w:r>
    </w:p>
    <w:p w14:paraId="10BD9F7B">
      <w:pPr>
        <w:rPr>
          <w:b/>
          <w:szCs w:val="28"/>
        </w:rPr>
      </w:pPr>
      <w:r>
        <w:rPr>
          <w:b/>
          <w:szCs w:val="28"/>
        </w:rPr>
        <w:t>Развитие современного туристического комплекса:</w:t>
      </w:r>
    </w:p>
    <w:p w14:paraId="77AB229B">
      <w:pPr>
        <w:ind w:firstLine="0"/>
        <w:rPr>
          <w:szCs w:val="28"/>
        </w:rPr>
      </w:pPr>
      <w:r>
        <w:rPr>
          <w:szCs w:val="28"/>
        </w:rPr>
        <w:t>- расходы на оплату труда работников центра туризма и отдыха «Лебяжские горки»</w:t>
      </w:r>
    </w:p>
    <w:p w14:paraId="2BC63558">
      <w:pPr>
        <w:ind w:firstLine="0"/>
        <w:rPr>
          <w:szCs w:val="28"/>
        </w:rPr>
      </w:pPr>
      <w:r>
        <w:rPr>
          <w:szCs w:val="28"/>
        </w:rPr>
        <w:t>-укрепление материально-технической базы;</w:t>
      </w:r>
    </w:p>
    <w:p w14:paraId="689370C2">
      <w:pPr>
        <w:ind w:firstLine="0"/>
        <w:rPr>
          <w:szCs w:val="28"/>
        </w:rPr>
      </w:pPr>
      <w:r>
        <w:rPr>
          <w:szCs w:val="28"/>
        </w:rPr>
        <w:t>-информационное и методическое обеспечение туристской деятельности;</w:t>
      </w:r>
    </w:p>
    <w:p w14:paraId="59634F89">
      <w:pPr>
        <w:ind w:firstLine="0"/>
        <w:rPr>
          <w:szCs w:val="28"/>
        </w:rPr>
      </w:pPr>
      <w:r>
        <w:rPr>
          <w:szCs w:val="28"/>
        </w:rPr>
        <w:t>-проведение мероприятий событийного туризма.</w:t>
      </w:r>
    </w:p>
    <w:p w14:paraId="6CAAA374">
      <w:pPr>
        <w:rPr>
          <w:b/>
          <w:szCs w:val="28"/>
        </w:rPr>
      </w:pPr>
      <w:r>
        <w:rPr>
          <w:b/>
          <w:szCs w:val="28"/>
        </w:rPr>
        <w:t xml:space="preserve">Организация хозяйственного обслуживания учреждений культуры: </w:t>
      </w:r>
    </w:p>
    <w:p w14:paraId="456AF542">
      <w:pPr>
        <w:ind w:firstLine="0"/>
        <w:rPr>
          <w:szCs w:val="28"/>
        </w:rPr>
      </w:pPr>
      <w:r>
        <w:rPr>
          <w:szCs w:val="28"/>
        </w:rPr>
        <w:t>- расходы на оплату труда группы хозяйственного обслуживания УКФДМ;</w:t>
      </w:r>
    </w:p>
    <w:p w14:paraId="0DE843DA">
      <w:pPr>
        <w:ind w:firstLine="0"/>
        <w:rPr>
          <w:szCs w:val="28"/>
        </w:rPr>
      </w:pPr>
      <w:r>
        <w:rPr>
          <w:szCs w:val="28"/>
        </w:rPr>
        <w:t>- контроль над хозяйственным обслуживанием зданий и помещений учреждений в соответствии с правилами и нормами производственной санитарии;</w:t>
      </w:r>
    </w:p>
    <w:p w14:paraId="10C65A4B">
      <w:pPr>
        <w:ind w:firstLine="0"/>
        <w:rPr>
          <w:szCs w:val="28"/>
        </w:rPr>
      </w:pPr>
      <w:r>
        <w:rPr>
          <w:szCs w:val="28"/>
        </w:rPr>
        <w:t>-обеспечение сохранности и своевременного ремонта имущества учреждений.</w:t>
      </w:r>
    </w:p>
    <w:p w14:paraId="488E8C9D">
      <w:pPr>
        <w:jc w:val="center"/>
        <w:rPr>
          <w:b/>
          <w:szCs w:val="28"/>
        </w:rPr>
      </w:pPr>
    </w:p>
    <w:p w14:paraId="2CAC7741">
      <w:pPr>
        <w:numPr>
          <w:ilvl w:val="0"/>
          <w:numId w:val="1"/>
        </w:numPr>
        <w:jc w:val="center"/>
        <w:rPr>
          <w:b/>
          <w:szCs w:val="28"/>
        </w:rPr>
      </w:pPr>
      <w:r>
        <w:rPr>
          <w:b/>
          <w:szCs w:val="28"/>
        </w:rPr>
        <w:t>Ресурсное обеспечение муниципальной  программы</w:t>
      </w:r>
    </w:p>
    <w:p w14:paraId="65B6002C">
      <w:pPr>
        <w:numPr>
          <w:numId w:val="0"/>
        </w:numPr>
        <w:jc w:val="both"/>
        <w:rPr>
          <w:b/>
          <w:szCs w:val="28"/>
        </w:rPr>
      </w:pPr>
    </w:p>
    <w:p w14:paraId="7E705960">
      <w:pPr>
        <w:autoSpaceDE w:val="0"/>
        <w:snapToGrid w:val="0"/>
        <w:spacing w:line="360" w:lineRule="auto"/>
        <w:ind w:left="280" w:leftChars="10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Общий объем ассигнований муниципальной программы составит  –</w:t>
      </w:r>
      <w:r>
        <w:rPr>
          <w:rFonts w:hint="default" w:eastAsia="Arial" w:cs="Times New Roman"/>
          <w:sz w:val="28"/>
          <w:szCs w:val="28"/>
          <w:highlight w:val="none"/>
          <w:lang w:val="ru-RU" w:eastAsia="ar-SA"/>
        </w:rPr>
        <w:t xml:space="preserve">        </w:t>
      </w:r>
      <w:r>
        <w:rPr>
          <w:rFonts w:hint="default" w:ascii="Times New Roman" w:hAnsi="Times New Roman" w:eastAsia="Arial" w:cs="Times New Roman"/>
          <w:sz w:val="28"/>
          <w:szCs w:val="28"/>
          <w:highlight w:val="none"/>
          <w:lang w:eastAsia="ar-SA"/>
        </w:rPr>
        <w:t xml:space="preserve"> </w:t>
      </w:r>
      <w:r>
        <w:rPr>
          <w:rFonts w:hint="default" w:ascii="Times New Roman" w:hAnsi="Times New Roman" w:eastAsia="Arial" w:cs="Times New Roman"/>
          <w:sz w:val="28"/>
          <w:szCs w:val="28"/>
          <w:highlight w:val="none"/>
          <w:lang w:val="ru-RU" w:eastAsia="ar-SA"/>
        </w:rPr>
        <w:t>340 250 977,18</w:t>
      </w:r>
      <w:r>
        <w:rPr>
          <w:rFonts w:hint="default" w:ascii="Times New Roman" w:hAnsi="Times New Roman" w:cs="Times New Roman"/>
          <w:bCs/>
          <w:color w:val="000000"/>
          <w:sz w:val="28"/>
          <w:szCs w:val="28"/>
          <w:highlight w:val="none"/>
          <w:lang w:val="ru-RU"/>
        </w:rPr>
        <w:t xml:space="preserve"> </w:t>
      </w:r>
      <w:r>
        <w:rPr>
          <w:rFonts w:hint="default" w:ascii="Times New Roman" w:hAnsi="Times New Roman" w:eastAsia="Arial" w:cs="Times New Roman"/>
          <w:sz w:val="28"/>
          <w:szCs w:val="28"/>
          <w:highlight w:val="none"/>
          <w:lang w:eastAsia="ar-SA"/>
        </w:rPr>
        <w:t xml:space="preserve">руб.,       </w:t>
      </w:r>
    </w:p>
    <w:p w14:paraId="0512FA10">
      <w:pPr>
        <w:tabs>
          <w:tab w:val="left" w:pos="7920"/>
        </w:tabs>
        <w:autoSpaceDE w:val="0"/>
        <w:spacing w:line="360" w:lineRule="auto"/>
        <w:ind w:left="280" w:leftChars="10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в том числе:  </w:t>
      </w:r>
    </w:p>
    <w:p w14:paraId="591CF081">
      <w:pPr>
        <w:autoSpaceDE w:val="0"/>
        <w:spacing w:line="360" w:lineRule="auto"/>
        <w:ind w:left="280" w:leftChars="10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федерального  бюджета –  </w:t>
      </w:r>
      <w:r>
        <w:rPr>
          <w:rFonts w:hint="default" w:ascii="Times New Roman" w:hAnsi="Times New Roman" w:eastAsia="Arial" w:cs="Times New Roman"/>
          <w:sz w:val="28"/>
          <w:szCs w:val="28"/>
          <w:highlight w:val="none"/>
          <w:lang w:val="ru-RU" w:eastAsia="ar-SA"/>
        </w:rPr>
        <w:t xml:space="preserve">699 558,06 </w:t>
      </w:r>
      <w:r>
        <w:rPr>
          <w:rFonts w:hint="default" w:ascii="Times New Roman" w:hAnsi="Times New Roman" w:eastAsia="Arial" w:cs="Times New Roman"/>
          <w:sz w:val="28"/>
          <w:szCs w:val="28"/>
          <w:highlight w:val="none"/>
          <w:lang w:eastAsia="ar-SA"/>
        </w:rPr>
        <w:t xml:space="preserve">руб.;                                      </w:t>
      </w:r>
    </w:p>
    <w:p w14:paraId="4B172D79">
      <w:pPr>
        <w:autoSpaceDE w:val="0"/>
        <w:spacing w:line="360" w:lineRule="auto"/>
        <w:ind w:left="280" w:leftChars="10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 xml:space="preserve">за счёт средств областного бюджета –  </w:t>
      </w:r>
      <w:r>
        <w:rPr>
          <w:rFonts w:hint="default" w:ascii="Times New Roman" w:hAnsi="Times New Roman" w:eastAsia="Arial" w:cs="Times New Roman"/>
          <w:sz w:val="28"/>
          <w:szCs w:val="28"/>
          <w:highlight w:val="none"/>
          <w:lang w:val="ru-RU" w:eastAsia="ar-SA"/>
        </w:rPr>
        <w:t>169 163 813,</w:t>
      </w:r>
      <w:r>
        <w:rPr>
          <w:rFonts w:hint="default" w:ascii="Times New Roman" w:hAnsi="Times New Roman" w:cs="Times New Roman"/>
          <w:color w:val="000000"/>
          <w:sz w:val="28"/>
          <w:szCs w:val="28"/>
          <w:highlight w:val="none"/>
          <w:lang w:val="ru-RU"/>
        </w:rPr>
        <w:t>75</w:t>
      </w:r>
      <w:r>
        <w:rPr>
          <w:rFonts w:hint="default" w:ascii="Times New Roman" w:hAnsi="Times New Roman" w:cs="Times New Roman"/>
          <w:color w:val="000000"/>
          <w:sz w:val="28"/>
          <w:szCs w:val="28"/>
          <w:highlight w:val="none"/>
        </w:rPr>
        <w:t xml:space="preserve"> </w:t>
      </w:r>
      <w:r>
        <w:rPr>
          <w:rFonts w:hint="default" w:ascii="Times New Roman" w:hAnsi="Times New Roman" w:eastAsia="Arial" w:cs="Times New Roman"/>
          <w:sz w:val="28"/>
          <w:szCs w:val="28"/>
          <w:highlight w:val="none"/>
          <w:lang w:eastAsia="ar-SA"/>
        </w:rPr>
        <w:t xml:space="preserve">руб.;             </w:t>
      </w:r>
    </w:p>
    <w:p w14:paraId="027C6CDB">
      <w:pPr>
        <w:autoSpaceDE w:val="0"/>
        <w:spacing w:line="360" w:lineRule="auto"/>
        <w:ind w:left="280" w:leftChars="100" w:firstLine="0" w:firstLineChars="0"/>
        <w:rPr>
          <w:rFonts w:hint="default" w:ascii="Times New Roman" w:hAnsi="Times New Roman" w:eastAsia="Arial" w:cs="Times New Roman"/>
          <w:sz w:val="28"/>
          <w:szCs w:val="28"/>
          <w:highlight w:val="none"/>
          <w:lang w:eastAsia="ar-SA"/>
        </w:rPr>
      </w:pPr>
      <w:r>
        <w:rPr>
          <w:rFonts w:hint="default" w:ascii="Times New Roman" w:hAnsi="Times New Roman" w:eastAsia="Arial" w:cs="Times New Roman"/>
          <w:sz w:val="28"/>
          <w:szCs w:val="28"/>
          <w:highlight w:val="none"/>
          <w:lang w:eastAsia="ar-SA"/>
        </w:rPr>
        <w:t>За</w:t>
      </w:r>
      <w:r>
        <w:rPr>
          <w:rFonts w:hint="default" w:ascii="Times New Roman" w:hAnsi="Times New Roman" w:eastAsia="Arial" w:cs="Times New Roman"/>
          <w:sz w:val="28"/>
          <w:szCs w:val="28"/>
          <w:highlight w:val="none"/>
          <w:lang w:val="ru-RU" w:eastAsia="ar-SA"/>
        </w:rPr>
        <w:t xml:space="preserve"> </w:t>
      </w:r>
      <w:r>
        <w:rPr>
          <w:rFonts w:hint="default" w:ascii="Times New Roman" w:hAnsi="Times New Roman" w:eastAsia="Arial" w:cs="Times New Roman"/>
          <w:sz w:val="28"/>
          <w:szCs w:val="28"/>
          <w:highlight w:val="none"/>
          <w:lang w:eastAsia="ar-SA"/>
        </w:rPr>
        <w:t>счёт местного бюджета –</w:t>
      </w:r>
      <w:r>
        <w:rPr>
          <w:rFonts w:hint="default" w:ascii="Times New Roman" w:hAnsi="Times New Roman" w:eastAsia="Arial" w:cs="Times New Roman"/>
          <w:sz w:val="28"/>
          <w:szCs w:val="28"/>
          <w:highlight w:val="none"/>
          <w:lang w:val="ru-RU" w:eastAsia="ar-SA"/>
        </w:rPr>
        <w:t xml:space="preserve">170 187 605,37 </w:t>
      </w:r>
      <w:r>
        <w:rPr>
          <w:rFonts w:hint="default" w:ascii="Times New Roman" w:hAnsi="Times New Roman" w:eastAsia="Arial" w:cs="Times New Roman"/>
          <w:sz w:val="28"/>
          <w:szCs w:val="28"/>
          <w:highlight w:val="none"/>
          <w:lang w:eastAsia="ar-SA"/>
        </w:rPr>
        <w:t>руб.</w:t>
      </w:r>
    </w:p>
    <w:p w14:paraId="6CE72008">
      <w:pPr>
        <w:autoSpaceDE w:val="0"/>
        <w:spacing w:line="240" w:lineRule="auto"/>
        <w:rPr>
          <w:szCs w:val="28"/>
        </w:rPr>
      </w:pPr>
      <w:r>
        <w:rPr>
          <w:rFonts w:eastAsia="Calibri"/>
          <w:szCs w:val="28"/>
          <w:lang w:val="ru-RU"/>
        </w:rPr>
        <w:t>Р</w:t>
      </w:r>
      <w:r>
        <w:rPr>
          <w:rFonts w:eastAsia="Calibri"/>
          <w:szCs w:val="28"/>
        </w:rPr>
        <w:t xml:space="preserve">асходы на реализацию муниципальной программы за счёт средств бюджета муниципального округа </w:t>
      </w:r>
      <w:r>
        <w:rPr>
          <w:szCs w:val="28"/>
        </w:rPr>
        <w:t xml:space="preserve"> приведены в </w:t>
      </w:r>
      <w:r>
        <w:fldChar w:fldCharType="begin"/>
      </w:r>
      <w:r>
        <w:instrText xml:space="preserve"> HYPERLINK "consultantplus://offline/ref=E7E2D6CD4B8B6E793CB3D8CBD639EF1E5E57BE5AA8037584EF83E5F54B282D2D655BAC8DBD50510FC25E86x6MAN" </w:instrText>
      </w:r>
      <w:r>
        <w:fldChar w:fldCharType="separate"/>
      </w:r>
      <w:r>
        <w:rPr>
          <w:b/>
          <w:szCs w:val="28"/>
        </w:rPr>
        <w:t>приложении №</w:t>
      </w:r>
      <w:r>
        <w:rPr>
          <w:rFonts w:hint="default"/>
          <w:b/>
          <w:szCs w:val="28"/>
          <w:lang w:val="ru-RU"/>
        </w:rPr>
        <w:t xml:space="preserve"> 2</w:t>
      </w:r>
      <w:r>
        <w:rPr>
          <w:rFonts w:eastAsia="Calibri"/>
          <w:b/>
          <w:szCs w:val="28"/>
        </w:rPr>
        <w:t>.</w:t>
      </w:r>
      <w:r>
        <w:rPr>
          <w:rFonts w:eastAsia="Calibri"/>
          <w:b/>
          <w:szCs w:val="28"/>
        </w:rPr>
        <w:fldChar w:fldCharType="end"/>
      </w:r>
      <w:r>
        <w:rPr>
          <w:rFonts w:hint="default" w:eastAsia="Calibri"/>
          <w:b/>
          <w:szCs w:val="28"/>
          <w:lang w:val="ru-RU"/>
        </w:rPr>
        <w:t xml:space="preserve"> </w:t>
      </w:r>
      <w:r>
        <w:rPr>
          <w:szCs w:val="28"/>
        </w:rPr>
        <w:t xml:space="preserve">Прогнозная (справочная) оценка ресурсного обеспечения реализации муниципальной программы за счёт всех источников финансирования  приведены в </w:t>
      </w:r>
      <w:r>
        <w:rPr>
          <w:b/>
          <w:szCs w:val="28"/>
        </w:rPr>
        <w:t>приложении № 3.</w:t>
      </w:r>
    </w:p>
    <w:p w14:paraId="13C8762A">
      <w:pPr>
        <w:jc w:val="center"/>
        <w:rPr>
          <w:b/>
          <w:szCs w:val="28"/>
        </w:rPr>
      </w:pPr>
    </w:p>
    <w:p w14:paraId="4212C9BF">
      <w:pPr>
        <w:jc w:val="center"/>
        <w:rPr>
          <w:b/>
          <w:szCs w:val="28"/>
        </w:rPr>
      </w:pPr>
      <w:r>
        <w:rPr>
          <w:b/>
          <w:szCs w:val="28"/>
        </w:rPr>
        <w:t>5. Анализ рисков реализации муниципальной программы и описание мер управления рисками</w:t>
      </w:r>
    </w:p>
    <w:p w14:paraId="4C8A50A3">
      <w:pPr>
        <w:jc w:val="center"/>
        <w:rPr>
          <w:b/>
          <w:szCs w:val="28"/>
        </w:rPr>
      </w:pPr>
    </w:p>
    <w:p w14:paraId="589B4CF9">
      <w:pPr>
        <w:rPr>
          <w:szCs w:val="28"/>
        </w:rPr>
      </w:pPr>
      <w:r>
        <w:rPr>
          <w:szCs w:val="28"/>
        </w:rPr>
        <w:t xml:space="preserve">Для успешной реализации поставленных задач муниципальной программы был </w:t>
      </w:r>
      <w:r>
        <w:rPr>
          <w:szCs w:val="28"/>
          <w:lang w:val="ru-RU"/>
        </w:rPr>
        <w:t>проведён</w:t>
      </w:r>
      <w:r>
        <w:rPr>
          <w:szCs w:val="28"/>
        </w:rPr>
        <w:t xml:space="preserve"> анализ рисков, которые могут повлиять на </w:t>
      </w:r>
      <w:r>
        <w:rPr>
          <w:szCs w:val="28"/>
          <w:lang w:val="ru-RU"/>
        </w:rPr>
        <w:t>её</w:t>
      </w:r>
      <w:r>
        <w:rPr>
          <w:szCs w:val="28"/>
        </w:rPr>
        <w:t xml:space="preserve"> выполнение.</w:t>
      </w:r>
    </w:p>
    <w:p w14:paraId="0FB5679C">
      <w:pPr>
        <w:rPr>
          <w:szCs w:val="28"/>
        </w:rPr>
      </w:pPr>
      <w:r>
        <w:rPr>
          <w:szCs w:val="28"/>
        </w:rPr>
        <w:t>К рискам реализации муниципальной программы следует отнести следующие:</w:t>
      </w:r>
    </w:p>
    <w:p w14:paraId="5E5C0D79">
      <w:pPr>
        <w:rPr>
          <w:i/>
          <w:szCs w:val="28"/>
        </w:rPr>
      </w:pPr>
      <w:r>
        <w:rPr>
          <w:i/>
          <w:szCs w:val="28"/>
        </w:rPr>
        <w:t xml:space="preserve">Финансовые риски. </w:t>
      </w:r>
    </w:p>
    <w:p w14:paraId="6D4731EF">
      <w:pPr>
        <w:rPr>
          <w:szCs w:val="28"/>
        </w:rPr>
      </w:pPr>
      <w:r>
        <w:rPr>
          <w:szCs w:val="28"/>
        </w:rPr>
        <w:t xml:space="preserve">Финансовые риски относятся к наиболее важным. Любое сокращение финансирования со стороны областного и местного бюджетов </w:t>
      </w:r>
      <w:r>
        <w:rPr>
          <w:szCs w:val="28"/>
          <w:lang w:val="ru-RU"/>
        </w:rPr>
        <w:t>повлечёт</w:t>
      </w:r>
      <w:r>
        <w:rPr>
          <w:szCs w:val="28"/>
        </w:rPr>
        <w:t xml:space="preserve"> неисполнение мероприятий  муниципальной программы и, как следствие, её невыполнение.</w:t>
      </w:r>
    </w:p>
    <w:p w14:paraId="4EF8FCB6">
      <w:pPr>
        <w:rPr>
          <w:szCs w:val="28"/>
        </w:rPr>
      </w:pPr>
      <w:r>
        <w:rPr>
          <w:szCs w:val="28"/>
        </w:rPr>
        <w:t xml:space="preserve">К финансовым рискам также относятся неэффективное и нерациональное использование ресурсов муниципальной  программы. </w:t>
      </w:r>
    </w:p>
    <w:p w14:paraId="5AC60AE7">
      <w:pPr>
        <w:rPr>
          <w:i/>
          <w:szCs w:val="28"/>
        </w:rPr>
      </w:pPr>
      <w:r>
        <w:rPr>
          <w:i/>
          <w:szCs w:val="28"/>
        </w:rPr>
        <w:t xml:space="preserve">Законодательные риски. </w:t>
      </w:r>
    </w:p>
    <w:p w14:paraId="122907BD">
      <w:pPr>
        <w:rPr>
          <w:szCs w:val="28"/>
        </w:rPr>
      </w:pPr>
      <w:r>
        <w:rPr>
          <w:szCs w:val="28"/>
        </w:rPr>
        <w:t>В период реализации муниципальной  программы планируется принятие федерального закона о культуре.</w:t>
      </w:r>
    </w:p>
    <w:p w14:paraId="24C46F17">
      <w:pPr>
        <w:rPr>
          <w:szCs w:val="28"/>
        </w:rPr>
      </w:pPr>
      <w:r>
        <w:rPr>
          <w:i/>
          <w:szCs w:val="28"/>
        </w:rPr>
        <w:t>Кадровые риски.</w:t>
      </w:r>
      <w:r>
        <w:rPr>
          <w:szCs w:val="28"/>
        </w:rPr>
        <w:t xml:space="preserve"> </w:t>
      </w:r>
    </w:p>
    <w:p w14:paraId="4DE84EFF">
      <w:pPr>
        <w:rPr>
          <w:szCs w:val="28"/>
        </w:rPr>
      </w:pPr>
      <w:r>
        <w:rPr>
          <w:szCs w:val="28"/>
        </w:rPr>
        <w:t>Данная группа рисков связана с недостаточной квалификацией сотрудников для внедрения новых форм и методов работы. Для минимизации рисков будет проводиться подготовка и переподготовка кадров. Для привлечения в отрасль квалифицированных и талантливых специалистов предусмотрены меры по созданию материальных стимулов в зависимости от результатов профессиональной служебной деятельности.</w:t>
      </w:r>
    </w:p>
    <w:p w14:paraId="0720E8C0">
      <w:pPr>
        <w:rPr>
          <w:szCs w:val="28"/>
        </w:rPr>
      </w:pPr>
      <w:r>
        <w:rPr>
          <w:szCs w:val="28"/>
        </w:rPr>
        <w:t xml:space="preserve">В целях снижения законодательных рисков планируется своевременное внесение дополнений в действующую  нормативную базу, а при необходимости – и возможных изменений в финансирование муниципальной программы. </w:t>
      </w:r>
    </w:p>
    <w:p w14:paraId="16359234">
      <w:pPr>
        <w:rPr>
          <w:szCs w:val="28"/>
        </w:rPr>
      </w:pPr>
      <w:r>
        <w:rPr>
          <w:szCs w:val="28"/>
        </w:rPr>
        <w:t>Для всех видов рисков главными мерами по управлению ими являются своевременно принятые управленческие решения и корректировка мероприятий муниципальной программой с учетом выделенного на их реализацию ресурсного обеспечения.</w:t>
      </w:r>
    </w:p>
    <w:p w14:paraId="67870391">
      <w:pPr>
        <w:rPr>
          <w:szCs w:val="28"/>
        </w:rPr>
      </w:pPr>
      <w:r>
        <w:rPr>
          <w:szCs w:val="28"/>
        </w:rPr>
        <w:t>Таким образом, вышеперечисленная система рисков может оказать существенное отрицательное влияние на реализацию муниципальной программы, проводимой в сфере культуры и туризма, как в целом, так и в ходе выполнения отдельных программных мероприятий.</w:t>
      </w:r>
    </w:p>
    <w:p w14:paraId="07A09C6A">
      <w:pPr>
        <w:rPr>
          <w:szCs w:val="28"/>
        </w:rPr>
      </w:pPr>
    </w:p>
    <w:p w14:paraId="0BBFDC7B">
      <w:pPr>
        <w:jc w:val="center"/>
        <w:rPr>
          <w:b/>
          <w:szCs w:val="28"/>
        </w:rPr>
      </w:pPr>
      <w:r>
        <w:rPr>
          <w:b/>
          <w:szCs w:val="28"/>
        </w:rPr>
        <w:t>6. Методика оценки эффективности реализации муниципальной программы</w:t>
      </w:r>
    </w:p>
    <w:p w14:paraId="1CB34663">
      <w:pPr>
        <w:rPr>
          <w:szCs w:val="28"/>
        </w:rPr>
      </w:pPr>
    </w:p>
    <w:p w14:paraId="5D0CB376">
      <w:pPr>
        <w:rPr>
          <w:szCs w:val="28"/>
        </w:rPr>
      </w:pPr>
      <w:r>
        <w:rPr>
          <w:szCs w:val="28"/>
        </w:rPr>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сравнения фактических сроков реализации мероприятий Программы с запланированными, а также с </w:t>
      </w:r>
      <w:r>
        <w:rPr>
          <w:szCs w:val="28"/>
          <w:lang w:val="ru-RU"/>
        </w:rPr>
        <w:t>учётом</w:t>
      </w:r>
      <w:r>
        <w:rPr>
          <w:szCs w:val="28"/>
        </w:rPr>
        <w:t xml:space="preserve"> </w:t>
      </w:r>
      <w:r>
        <w:rPr>
          <w:szCs w:val="28"/>
          <w:lang w:val="ru-RU"/>
        </w:rPr>
        <w:t>объёма</w:t>
      </w:r>
      <w:r>
        <w:rPr>
          <w:szCs w:val="28"/>
        </w:rPr>
        <w:t xml:space="preserve"> ресурсов, направленных на реализацию Программы. </w:t>
      </w:r>
    </w:p>
    <w:p w14:paraId="1DCFE1B0">
      <w:pPr>
        <w:rPr>
          <w:spacing w:val="-4"/>
          <w:szCs w:val="28"/>
        </w:rPr>
      </w:pPr>
      <w:r>
        <w:rPr>
          <w:szCs w:val="28"/>
        </w:rPr>
        <w:t xml:space="preserve">Оценка достижений показателей эффективности реализации Программы осуществляется </w:t>
      </w:r>
      <w:r>
        <w:rPr>
          <w:szCs w:val="28"/>
          <w:lang w:val="ru-RU"/>
        </w:rPr>
        <w:t>путём</w:t>
      </w:r>
      <w:r>
        <w:rPr>
          <w:szCs w:val="28"/>
        </w:rPr>
        <w:t xml:space="preserve"> сопоставления фактически достигнутых и плановых значений показателей эффективности реализации муниципальной программы за отчётный период </w:t>
      </w:r>
      <w:r>
        <w:rPr>
          <w:szCs w:val="28"/>
          <w:lang w:val="ru-RU"/>
        </w:rPr>
        <w:t>представленных</w:t>
      </w:r>
      <w:r>
        <w:rPr>
          <w:szCs w:val="28"/>
        </w:rPr>
        <w:t xml:space="preserve"> в приложении №1 и рассчитывается по формуле:</w:t>
      </w:r>
      <w:r>
        <w:rPr>
          <w:spacing w:val="-4"/>
          <w:szCs w:val="28"/>
        </w:rPr>
        <w:t xml:space="preserve"> </w:t>
      </w:r>
    </w:p>
    <w:p w14:paraId="3950D8C1">
      <w:pPr>
        <w:rPr>
          <w:szCs w:val="28"/>
        </w:rPr>
      </w:pPr>
      <w:r>
        <w:rPr>
          <w:position w:val="-24"/>
          <w:szCs w:val="28"/>
        </w:rPr>
        <w:object>
          <v:shape id="_x0000_i1025" o:spt="75" type="#_x0000_t75" style="height:39.45pt;width:53.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szCs w:val="28"/>
        </w:rPr>
        <w:t xml:space="preserve"> </w:t>
      </w:r>
      <w:r>
        <w:rPr>
          <w:rFonts w:hint="default"/>
          <w:szCs w:val="28"/>
          <w:lang w:val="ru-RU"/>
        </w:rPr>
        <w:t xml:space="preserve">, </w:t>
      </w:r>
      <w:r>
        <w:rPr>
          <w:szCs w:val="28"/>
        </w:rPr>
        <w:t xml:space="preserve">где:                                  </w:t>
      </w:r>
    </w:p>
    <w:p w14:paraId="1EFEF85E">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rPr>
        <w:t>эф</w:t>
      </w:r>
      <w:r>
        <w:rPr>
          <w:rFonts w:ascii="Times New Roman" w:hAnsi="Times New Roman" w:cs="Times New Roman"/>
          <w:i/>
          <w:iCs/>
          <w:sz w:val="28"/>
          <w:szCs w:val="28"/>
        </w:rPr>
        <w:t xml:space="preserve"> </w:t>
      </w:r>
      <w:r>
        <w:rPr>
          <w:rFonts w:ascii="Times New Roman" w:hAnsi="Times New Roman" w:cs="Times New Roman"/>
          <w:sz w:val="28"/>
          <w:szCs w:val="28"/>
        </w:rPr>
        <w:t xml:space="preserve"> – степень достижения показателей эффективности реализации муниципальной программы (%);</w:t>
      </w:r>
    </w:p>
    <w:p w14:paraId="15C6407C">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lang w:val="en-US"/>
        </w:rPr>
        <w:t>i</w:t>
      </w:r>
      <w:r>
        <w:rPr>
          <w:rFonts w:ascii="Times New Roman" w:hAnsi="Times New Roman" w:cs="Times New Roman"/>
          <w:sz w:val="28"/>
          <w:szCs w:val="28"/>
        </w:rPr>
        <w:t xml:space="preserve"> – степень достижения </w:t>
      </w:r>
      <w:r>
        <w:rPr>
          <w:rFonts w:ascii="Times New Roman" w:hAnsi="Times New Roman" w:cs="Times New Roman"/>
          <w:sz w:val="28"/>
          <w:szCs w:val="28"/>
          <w:lang w:val="en-US"/>
        </w:rPr>
        <w:t>i</w:t>
      </w:r>
      <w:r>
        <w:rPr>
          <w:rFonts w:ascii="Times New Roman" w:hAnsi="Times New Roman" w:cs="Times New Roman"/>
          <w:sz w:val="28"/>
          <w:szCs w:val="28"/>
        </w:rPr>
        <w:t xml:space="preserve">-го показателя эффективности реализации муниципальной программы (%); </w:t>
      </w:r>
    </w:p>
    <w:p w14:paraId="1F24F93F">
      <w:pPr>
        <w:rPr>
          <w:szCs w:val="28"/>
        </w:rPr>
      </w:pPr>
      <w:r>
        <w:rPr>
          <w:iCs/>
          <w:szCs w:val="28"/>
          <w:lang w:val="en-US"/>
        </w:rPr>
        <w:t>n</w:t>
      </w:r>
      <w:r>
        <w:rPr>
          <w:iCs/>
          <w:szCs w:val="28"/>
        </w:rPr>
        <w:t xml:space="preserve"> </w:t>
      </w:r>
      <w:r>
        <w:rPr>
          <w:szCs w:val="28"/>
        </w:rPr>
        <w:t>– количество показателей эффективности реализации муниципальной программы.</w:t>
      </w:r>
    </w:p>
    <w:p w14:paraId="791D5313">
      <w:pPr>
        <w:rPr>
          <w:szCs w:val="28"/>
        </w:rPr>
      </w:pPr>
      <w:r>
        <w:rPr>
          <w:szCs w:val="28"/>
        </w:rPr>
        <w:t xml:space="preserve">Оценка </w:t>
      </w:r>
      <w:r>
        <w:rPr>
          <w:szCs w:val="28"/>
          <w:lang w:val="ru-RU"/>
        </w:rPr>
        <w:t>объёма</w:t>
      </w:r>
      <w:r>
        <w:rPr>
          <w:szCs w:val="28"/>
        </w:rPr>
        <w:t xml:space="preserve"> ресурсов, направленных на реализацию муниципальной программы, осуществляется </w:t>
      </w:r>
      <w:r>
        <w:rPr>
          <w:szCs w:val="28"/>
          <w:lang w:val="ru-RU"/>
        </w:rPr>
        <w:t>путём</w:t>
      </w:r>
      <w:r>
        <w:rPr>
          <w:szCs w:val="28"/>
        </w:rPr>
        <w:t xml:space="preserve"> сопоставления фактических и плановых </w:t>
      </w:r>
      <w:r>
        <w:rPr>
          <w:szCs w:val="28"/>
          <w:lang w:val="ru-RU"/>
        </w:rPr>
        <w:t>объёмов</w:t>
      </w:r>
      <w:r>
        <w:rPr>
          <w:szCs w:val="28"/>
        </w:rPr>
        <w:t xml:space="preserve"> финансирования муниципальной программы в целом за </w:t>
      </w:r>
      <w:r>
        <w:rPr>
          <w:szCs w:val="28"/>
          <w:lang w:val="ru-RU"/>
        </w:rPr>
        <w:t>счёт</w:t>
      </w:r>
      <w:r>
        <w:rPr>
          <w:szCs w:val="28"/>
        </w:rPr>
        <w:t xml:space="preserve"> всех источников финансирования за </w:t>
      </w:r>
      <w:r>
        <w:rPr>
          <w:szCs w:val="28"/>
          <w:lang w:val="ru-RU"/>
        </w:rPr>
        <w:t>отчётный</w:t>
      </w:r>
      <w:r>
        <w:rPr>
          <w:szCs w:val="28"/>
        </w:rPr>
        <w:t xml:space="preserve"> период по формуле:</w:t>
      </w:r>
    </w:p>
    <w:p w14:paraId="5A97EAD9">
      <w:pPr>
        <w:rPr>
          <w:szCs w:val="28"/>
        </w:rPr>
      </w:pPr>
    </w:p>
    <w:p w14:paraId="15997A74">
      <w:pPr>
        <w:rPr>
          <w:szCs w:val="28"/>
        </w:rPr>
      </w:pPr>
      <w:r>
        <w:rPr>
          <w:position w:val="-30"/>
          <w:szCs w:val="28"/>
        </w:rPr>
        <w:object>
          <v:shape id="_x0000_i1026" o:spt="75" type="#_x0000_t75" style="height:33.2pt;width:75.7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p w14:paraId="0D37C8E4">
      <w:pPr>
        <w:rPr>
          <w:szCs w:val="28"/>
        </w:rPr>
      </w:pPr>
      <w:r>
        <w:rPr>
          <w:szCs w:val="28"/>
        </w:rPr>
        <w:t>где:</w:t>
      </w:r>
    </w:p>
    <w:p w14:paraId="4538D374">
      <w:pPr>
        <w:rPr>
          <w:szCs w:val="28"/>
        </w:rPr>
      </w:pPr>
      <w:r>
        <w:rPr>
          <w:iCs/>
          <w:szCs w:val="28"/>
        </w:rPr>
        <w:t>У</w:t>
      </w:r>
      <w:r>
        <w:rPr>
          <w:iCs/>
          <w:szCs w:val="28"/>
          <w:vertAlign w:val="subscript"/>
        </w:rPr>
        <w:t>ф</w:t>
      </w:r>
      <w:r>
        <w:rPr>
          <w:i/>
          <w:iCs/>
          <w:szCs w:val="28"/>
        </w:rPr>
        <w:t xml:space="preserve"> </w:t>
      </w:r>
      <w:r>
        <w:rPr>
          <w:szCs w:val="28"/>
        </w:rPr>
        <w:t>– уровень финансирования муниципальной программы в целом (%);</w:t>
      </w:r>
    </w:p>
    <w:p w14:paraId="1458F1E9">
      <w:pPr>
        <w:ind w:firstLine="0"/>
        <w:rPr>
          <w:szCs w:val="28"/>
        </w:rPr>
      </w:pPr>
      <w:r>
        <w:rPr>
          <w:szCs w:val="28"/>
        </w:rPr>
        <w:t xml:space="preserve">           </w:t>
      </w:r>
      <w:r>
        <w:rPr>
          <w:iCs/>
          <w:szCs w:val="28"/>
        </w:rPr>
        <w:t>Ф</w:t>
      </w:r>
      <w:r>
        <w:rPr>
          <w:iCs/>
          <w:szCs w:val="28"/>
          <w:vertAlign w:val="subscript"/>
        </w:rPr>
        <w:t>ф</w:t>
      </w:r>
      <w:r>
        <w:rPr>
          <w:iCs/>
          <w:szCs w:val="28"/>
        </w:rPr>
        <w:t xml:space="preserve"> </w:t>
      </w:r>
      <w:r>
        <w:rPr>
          <w:szCs w:val="28"/>
        </w:rPr>
        <w:t xml:space="preserve">– фактический объем финансовых ресурсов за </w:t>
      </w:r>
      <w:r>
        <w:rPr>
          <w:szCs w:val="28"/>
          <w:lang w:val="ru-RU"/>
        </w:rPr>
        <w:t>счёт</w:t>
      </w:r>
      <w:r>
        <w:rPr>
          <w:szCs w:val="28"/>
        </w:rPr>
        <w:t xml:space="preserve"> всех источников финансирования, направленный в </w:t>
      </w:r>
      <w:r>
        <w:rPr>
          <w:szCs w:val="28"/>
          <w:lang w:val="ru-RU"/>
        </w:rPr>
        <w:t>отчётном</w:t>
      </w:r>
      <w:r>
        <w:rPr>
          <w:szCs w:val="28"/>
        </w:rPr>
        <w:t xml:space="preserve"> периоде на реализацию мероприятий муниципальной программы (рублей);</w:t>
      </w:r>
    </w:p>
    <w:p w14:paraId="31BD101E">
      <w:pPr>
        <w:rPr>
          <w:szCs w:val="28"/>
        </w:rPr>
      </w:pPr>
      <w:r>
        <w:rPr>
          <w:iCs/>
          <w:szCs w:val="28"/>
        </w:rPr>
        <w:t>Ф</w:t>
      </w:r>
      <w:r>
        <w:rPr>
          <w:iCs/>
          <w:szCs w:val="28"/>
          <w:vertAlign w:val="subscript"/>
        </w:rPr>
        <w:t>пл</w:t>
      </w:r>
      <w:r>
        <w:rPr>
          <w:szCs w:val="28"/>
        </w:rPr>
        <w:t xml:space="preserve"> – плановый объем финансовых ресурсов за </w:t>
      </w:r>
      <w:r>
        <w:rPr>
          <w:szCs w:val="28"/>
          <w:lang w:val="ru-RU"/>
        </w:rPr>
        <w:t>счёт</w:t>
      </w:r>
      <w:r>
        <w:rPr>
          <w:szCs w:val="28"/>
        </w:rPr>
        <w:t xml:space="preserve"> всех источников финансирования на реализацию мероприятий муниципальной программы на соответствующий </w:t>
      </w:r>
      <w:r>
        <w:rPr>
          <w:szCs w:val="28"/>
          <w:lang w:val="ru-RU"/>
        </w:rPr>
        <w:t>отчётный</w:t>
      </w:r>
      <w:r>
        <w:rPr>
          <w:szCs w:val="28"/>
        </w:rPr>
        <w:t xml:space="preserve"> период, установленный муниципальной программой (рублей).</w:t>
      </w:r>
    </w:p>
    <w:p w14:paraId="03AE4DC4">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Оценка сравнения фактических сроков реализации мероприятий с запланированными осуществляется по формуле:</w:t>
      </w:r>
    </w:p>
    <w:p w14:paraId="2F7BD49D">
      <w:pPr>
        <w:pStyle w:val="11"/>
        <w:shd w:val="clear" w:color="auto" w:fill="FFFFFF"/>
        <w:spacing w:before="0" w:beforeAutospacing="0" w:after="150" w:afterAutospacing="0"/>
        <w:jc w:val="both"/>
        <w:textAlignment w:val="baseline"/>
        <w:rPr>
          <w:color w:val="000000"/>
          <w:sz w:val="28"/>
          <w:szCs w:val="28"/>
        </w:rPr>
      </w:pPr>
      <w:r>
        <w:rPr>
          <w:color w:val="000000"/>
          <w:sz w:val="28"/>
          <w:szCs w:val="28"/>
        </w:rPr>
        <w:t xml:space="preserve">         Ум =Кфм/Кпм х 100%</w:t>
      </w:r>
    </w:p>
    <w:p w14:paraId="51F9144B">
      <w:pPr>
        <w:pStyle w:val="11"/>
        <w:shd w:val="clear" w:color="auto" w:fill="FFFFFF"/>
        <w:spacing w:before="0" w:beforeAutospacing="0" w:after="150" w:afterAutospacing="0"/>
        <w:jc w:val="both"/>
        <w:textAlignment w:val="baseline"/>
        <w:rPr>
          <w:color w:val="000000"/>
          <w:sz w:val="28"/>
          <w:szCs w:val="28"/>
        </w:rPr>
      </w:pPr>
      <w:r>
        <w:rPr>
          <w:color w:val="000000"/>
          <w:sz w:val="28"/>
          <w:szCs w:val="28"/>
        </w:rPr>
        <w:t xml:space="preserve">         где:</w:t>
      </w:r>
    </w:p>
    <w:p w14:paraId="68E2E6EE">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Ум - уровень выполнения мероприятий программы (%);</w:t>
      </w:r>
    </w:p>
    <w:p w14:paraId="5B8A7EAD">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 xml:space="preserve">Кмф – количество мероприятий  муниципальной программы, выполненных в срок за </w:t>
      </w:r>
      <w:r>
        <w:rPr>
          <w:color w:val="000000"/>
          <w:sz w:val="28"/>
          <w:szCs w:val="28"/>
          <w:lang w:val="ru-RU"/>
        </w:rPr>
        <w:t>отчётный</w:t>
      </w:r>
      <w:r>
        <w:rPr>
          <w:color w:val="000000"/>
          <w:sz w:val="28"/>
          <w:szCs w:val="28"/>
        </w:rPr>
        <w:t xml:space="preserve"> период на основе ежегодных </w:t>
      </w:r>
      <w:r>
        <w:rPr>
          <w:color w:val="000000"/>
          <w:sz w:val="28"/>
          <w:szCs w:val="28"/>
          <w:lang w:val="ru-RU"/>
        </w:rPr>
        <w:t>отчётов</w:t>
      </w:r>
      <w:r>
        <w:rPr>
          <w:color w:val="000000"/>
          <w:sz w:val="28"/>
          <w:szCs w:val="28"/>
        </w:rPr>
        <w:t xml:space="preserve"> об исполнении плана реализации муниципальной  программы (единиц);</w:t>
      </w:r>
    </w:p>
    <w:p w14:paraId="4CA426C8">
      <w:pPr>
        <w:pStyle w:val="11"/>
        <w:shd w:val="clear" w:color="auto" w:fill="FFFFFF"/>
        <w:spacing w:before="0" w:beforeAutospacing="0" w:after="150" w:afterAutospacing="0"/>
        <w:ind w:firstLine="708"/>
        <w:jc w:val="both"/>
        <w:textAlignment w:val="baseline"/>
        <w:rPr>
          <w:color w:val="000000"/>
          <w:sz w:val="28"/>
          <w:szCs w:val="28"/>
        </w:rPr>
      </w:pPr>
      <w:r>
        <w:rPr>
          <w:color w:val="000000"/>
          <w:sz w:val="28"/>
          <w:szCs w:val="28"/>
        </w:rPr>
        <w:t xml:space="preserve">Кмп – количество мероприятий  муниципальной  программы, запланированных к выполнению в </w:t>
      </w:r>
      <w:r>
        <w:rPr>
          <w:color w:val="000000"/>
          <w:sz w:val="28"/>
          <w:szCs w:val="28"/>
          <w:lang w:val="ru-RU"/>
        </w:rPr>
        <w:t>отчётном</w:t>
      </w:r>
      <w:r>
        <w:rPr>
          <w:color w:val="000000"/>
          <w:sz w:val="28"/>
          <w:szCs w:val="28"/>
        </w:rPr>
        <w:t xml:space="preserve"> периоде в плане реализации муниципальной  программы, (единиц).</w:t>
      </w:r>
    </w:p>
    <w:p w14:paraId="027C2BAB">
      <w:pPr>
        <w:rPr>
          <w:szCs w:val="28"/>
        </w:rPr>
      </w:pPr>
      <w:r>
        <w:rPr>
          <w:szCs w:val="28"/>
        </w:rPr>
        <w:t>Оценка эффективности реализации муниципальной программы производится по формуле:</w:t>
      </w:r>
    </w:p>
    <w:p w14:paraId="2BE95385">
      <w:pPr>
        <w:rPr>
          <w:szCs w:val="28"/>
        </w:rPr>
      </w:pPr>
      <w:r>
        <w:rPr>
          <w:position w:val="-44"/>
          <w:szCs w:val="28"/>
        </w:rPr>
        <w:object>
          <v:shape id="_x0000_i1027" o:spt="75" type="#_x0000_t75" style="height:47.6pt;width:99.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p w14:paraId="270A934D">
      <w:pPr>
        <w:rPr>
          <w:szCs w:val="28"/>
        </w:rPr>
      </w:pPr>
      <w:r>
        <w:rPr>
          <w:szCs w:val="28"/>
        </w:rPr>
        <w:t>где:</w:t>
      </w:r>
    </w:p>
    <w:p w14:paraId="7F34904A">
      <w:pPr>
        <w:rPr>
          <w:szCs w:val="28"/>
        </w:rPr>
      </w:pPr>
      <w:r>
        <w:rPr>
          <w:iCs/>
          <w:szCs w:val="28"/>
        </w:rPr>
        <w:t>Э</w:t>
      </w:r>
      <w:r>
        <w:rPr>
          <w:iCs/>
          <w:szCs w:val="28"/>
          <w:vertAlign w:val="subscript"/>
        </w:rPr>
        <w:t>пр</w:t>
      </w:r>
      <w:r>
        <w:rPr>
          <w:szCs w:val="28"/>
        </w:rPr>
        <w:t xml:space="preserve"> – оценка эффективности реализации муниципальной программы (%);</w:t>
      </w:r>
    </w:p>
    <w:p w14:paraId="5DE49DEE">
      <w:pPr>
        <w:pStyle w:val="46"/>
        <w:ind w:firstLine="708"/>
        <w:contextualSpacing/>
        <w:jc w:val="both"/>
        <w:rPr>
          <w:rFonts w:ascii="Times New Roman" w:hAnsi="Times New Roman" w:cs="Times New Roman"/>
          <w:sz w:val="28"/>
          <w:szCs w:val="28"/>
        </w:rPr>
      </w:pPr>
      <w:r>
        <w:rPr>
          <w:rFonts w:ascii="Times New Roman" w:hAnsi="Times New Roman" w:cs="Times New Roman"/>
          <w:iCs/>
          <w:sz w:val="28"/>
          <w:szCs w:val="28"/>
        </w:rPr>
        <w:t>П</w:t>
      </w:r>
      <w:r>
        <w:rPr>
          <w:rFonts w:ascii="Times New Roman" w:hAnsi="Times New Roman" w:cs="Times New Roman"/>
          <w:iCs/>
          <w:sz w:val="28"/>
          <w:szCs w:val="28"/>
          <w:vertAlign w:val="subscript"/>
        </w:rPr>
        <w:t>эф</w:t>
      </w:r>
      <w:r>
        <w:rPr>
          <w:rFonts w:ascii="Times New Roman" w:hAnsi="Times New Roman" w:cs="Times New Roman"/>
          <w:iCs/>
          <w:sz w:val="28"/>
          <w:szCs w:val="28"/>
        </w:rPr>
        <w:t xml:space="preserve"> </w:t>
      </w:r>
      <w:r>
        <w:rPr>
          <w:rFonts w:ascii="Times New Roman" w:hAnsi="Times New Roman" w:cs="Times New Roman"/>
          <w:sz w:val="28"/>
          <w:szCs w:val="28"/>
        </w:rPr>
        <w:t xml:space="preserve"> – степень достижения показателей эффективности реализации муниципальной программы (%);</w:t>
      </w:r>
    </w:p>
    <w:p w14:paraId="4DD74B76">
      <w:pPr>
        <w:rPr>
          <w:szCs w:val="28"/>
        </w:rPr>
      </w:pPr>
      <w:r>
        <w:rPr>
          <w:iCs/>
          <w:szCs w:val="28"/>
        </w:rPr>
        <w:t>У</w:t>
      </w:r>
      <w:r>
        <w:rPr>
          <w:iCs/>
          <w:szCs w:val="28"/>
          <w:vertAlign w:val="subscript"/>
        </w:rPr>
        <w:t>ф</w:t>
      </w:r>
      <w:r>
        <w:rPr>
          <w:szCs w:val="28"/>
        </w:rPr>
        <w:t xml:space="preserve"> – уровень финансирования муниципальной программы в целом (%);</w:t>
      </w:r>
    </w:p>
    <w:p w14:paraId="03049813">
      <w:pPr>
        <w:rPr>
          <w:szCs w:val="28"/>
        </w:rPr>
      </w:pPr>
      <w:r>
        <w:rPr>
          <w:iCs/>
          <w:szCs w:val="28"/>
        </w:rPr>
        <w:t>У</w:t>
      </w:r>
      <w:r>
        <w:rPr>
          <w:iCs/>
          <w:szCs w:val="28"/>
          <w:vertAlign w:val="subscript"/>
        </w:rPr>
        <w:t>м</w:t>
      </w:r>
      <w:r>
        <w:rPr>
          <w:iCs/>
          <w:szCs w:val="28"/>
        </w:rPr>
        <w:t xml:space="preserve"> </w:t>
      </w:r>
      <w:r>
        <w:rPr>
          <w:szCs w:val="28"/>
        </w:rPr>
        <w:t>– уровень выполнения мероприятий муниципальной программы (%);</w:t>
      </w:r>
    </w:p>
    <w:p w14:paraId="3DD6EA14">
      <w:pPr>
        <w:widowControl w:val="0"/>
        <w:autoSpaceDE w:val="0"/>
        <w:autoSpaceDN w:val="0"/>
        <w:adjustRightInd w:val="0"/>
        <w:ind w:firstLine="540"/>
        <w:rPr>
          <w:szCs w:val="28"/>
        </w:rPr>
      </w:pPr>
      <w:r>
        <w:rPr>
          <w:szCs w:val="28"/>
        </w:rPr>
        <w:t>В целях оценки эффективности реализации муниципальной программы устанавливаются следующие критерии:</w:t>
      </w:r>
    </w:p>
    <w:p w14:paraId="39DA4A01">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от 80% до 100%, то эффективность реализации муниципальной программы оценивается как высокая;</w:t>
      </w:r>
    </w:p>
    <w:p w14:paraId="36B578CD">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от 60% до 80% то такая эффективность реализации муниципальной программы оценивается как средняя;</w:t>
      </w:r>
    </w:p>
    <w:p w14:paraId="0E1DC2E4">
      <w:pPr>
        <w:pStyle w:val="46"/>
        <w:ind w:firstLine="540"/>
        <w:contextualSpacing/>
        <w:jc w:val="both"/>
        <w:rPr>
          <w:rFonts w:ascii="Times New Roman" w:hAnsi="Times New Roman" w:cs="Times New Roman"/>
          <w:sz w:val="28"/>
          <w:szCs w:val="28"/>
        </w:rPr>
      </w:pPr>
      <w:r>
        <w:rPr>
          <w:rFonts w:ascii="Times New Roman" w:hAnsi="Times New Roman" w:cs="Times New Roman"/>
          <w:sz w:val="28"/>
          <w:szCs w:val="28"/>
        </w:rPr>
        <w:t>если значение показателя Э</w:t>
      </w:r>
      <w:r>
        <w:rPr>
          <w:rFonts w:ascii="Times New Roman" w:hAnsi="Times New Roman" w:cs="Times New Roman"/>
          <w:sz w:val="28"/>
          <w:szCs w:val="28"/>
          <w:vertAlign w:val="subscript"/>
        </w:rPr>
        <w:t>пр</w:t>
      </w:r>
      <w:r>
        <w:rPr>
          <w:rFonts w:ascii="Times New Roman" w:hAnsi="Times New Roman" w:cs="Times New Roman"/>
          <w:sz w:val="28"/>
          <w:szCs w:val="28"/>
        </w:rPr>
        <w:t xml:space="preserve"> ниже 60%,  то  такая эффективность реализации муниципальной программы оценивается как низкая.</w:t>
      </w:r>
    </w:p>
    <w:p w14:paraId="625EDF96">
      <w:pPr>
        <w:widowControl w:val="0"/>
        <w:autoSpaceDE w:val="0"/>
        <w:autoSpaceDN w:val="0"/>
        <w:adjustRightInd w:val="0"/>
        <w:ind w:firstLine="539"/>
        <w:rPr>
          <w:szCs w:val="28"/>
        </w:rPr>
      </w:pPr>
      <w:r>
        <w:rPr>
          <w:szCs w:val="28"/>
        </w:rPr>
        <w:t xml:space="preserve">Ожидаемый бюджетный эффект от реализации муниципальной программы выражается в повышении эффективности расходования бюджетных средств за </w:t>
      </w:r>
      <w:r>
        <w:rPr>
          <w:szCs w:val="28"/>
          <w:lang w:val="ru-RU"/>
        </w:rPr>
        <w:t>счёт</w:t>
      </w:r>
      <w:r>
        <w:rPr>
          <w:szCs w:val="28"/>
        </w:rPr>
        <w:t xml:space="preserve"> сокращения неэффективных расходов.</w:t>
      </w:r>
    </w:p>
    <w:p w14:paraId="276519D3">
      <w:pPr>
        <w:widowControl w:val="0"/>
        <w:autoSpaceDE w:val="0"/>
        <w:autoSpaceDN w:val="0"/>
        <w:adjustRightInd w:val="0"/>
        <w:ind w:firstLine="539"/>
        <w:rPr>
          <w:szCs w:val="28"/>
        </w:rPr>
      </w:pPr>
      <w:r>
        <w:rPr>
          <w:szCs w:val="28"/>
        </w:rPr>
        <w:t xml:space="preserve">Сокращения неэффективных расходов планируется достичь за </w:t>
      </w:r>
      <w:r>
        <w:rPr>
          <w:szCs w:val="28"/>
          <w:lang w:val="ru-RU"/>
        </w:rPr>
        <w:t>счёт</w:t>
      </w:r>
      <w:r>
        <w:rPr>
          <w:szCs w:val="28"/>
        </w:rPr>
        <w:t xml:space="preserve"> координирующей деятельности ответственных исполнителей.</w:t>
      </w:r>
    </w:p>
    <w:p w14:paraId="5448A536">
      <w:pPr>
        <w:widowControl w:val="0"/>
        <w:autoSpaceDE w:val="0"/>
        <w:autoSpaceDN w:val="0"/>
        <w:adjustRightInd w:val="0"/>
        <w:ind w:firstLine="539"/>
        <w:rPr>
          <w:szCs w:val="28"/>
        </w:rPr>
      </w:pPr>
      <w:r>
        <w:rPr>
          <w:szCs w:val="28"/>
        </w:rPr>
        <w:t xml:space="preserve">Ежегодно ответственным исполнителем осуществляется оценка эффективности реализации муниципальной программы, и в срок до 1 марта года, следующего за </w:t>
      </w:r>
      <w:r>
        <w:rPr>
          <w:szCs w:val="28"/>
          <w:lang w:val="ru-RU"/>
        </w:rPr>
        <w:t>отчётным</w:t>
      </w:r>
      <w:r>
        <w:rPr>
          <w:szCs w:val="28"/>
        </w:rPr>
        <w:t xml:space="preserve">, годовой </w:t>
      </w:r>
      <w:r>
        <w:rPr>
          <w:szCs w:val="28"/>
          <w:lang w:val="ru-RU"/>
        </w:rPr>
        <w:t>отчёт</w:t>
      </w:r>
      <w:r>
        <w:rPr>
          <w:szCs w:val="28"/>
        </w:rPr>
        <w:t xml:space="preserve"> о ходе реализации и оценке эффективности реализации муниципальной программы представляется в сектор по экономике и прогнозированию.</w:t>
      </w:r>
    </w:p>
    <w:p w14:paraId="68949395">
      <w:pPr>
        <w:ind w:firstLine="0"/>
        <w:rPr>
          <w:szCs w:val="28"/>
        </w:rPr>
      </w:pPr>
      <w:r>
        <w:rPr>
          <w:szCs w:val="28"/>
        </w:rPr>
        <w:t xml:space="preserve">       Экономический эффект муниципальной программы будет связан с привлечением дополнительных инвестиций в культуру муниципального округа.</w:t>
      </w:r>
    </w:p>
    <w:p w14:paraId="47CB9790">
      <w:pPr>
        <w:ind w:firstLine="0"/>
        <w:rPr>
          <w:szCs w:val="28"/>
        </w:rPr>
      </w:pPr>
      <w:r>
        <w:rPr>
          <w:szCs w:val="28"/>
        </w:rPr>
        <w:t xml:space="preserve">       Социальный эффект выражается в повышении социальной роли культуры в формировании гармоничной личности и, как следствие, в создании благоприятной общественной атмосферы. </w:t>
      </w:r>
    </w:p>
    <w:p w14:paraId="15BD8FCE">
      <w:pPr>
        <w:ind w:firstLine="0"/>
        <w:rPr>
          <w:szCs w:val="28"/>
        </w:rPr>
      </w:pPr>
      <w:r>
        <w:rPr>
          <w:szCs w:val="28"/>
        </w:rPr>
        <w:t xml:space="preserve">        Социальный эффект будет выражаться, в частности:</w:t>
      </w:r>
    </w:p>
    <w:p w14:paraId="62120161">
      <w:pPr>
        <w:ind w:firstLine="0"/>
        <w:rPr>
          <w:szCs w:val="28"/>
        </w:rPr>
      </w:pPr>
      <w:r>
        <w:rPr>
          <w:szCs w:val="28"/>
        </w:rPr>
        <w:t>-  в укреплении единого культурного пространства муниципального округа  как фактора сохранения его целостности;</w:t>
      </w:r>
    </w:p>
    <w:p w14:paraId="0FFDCE96">
      <w:pPr>
        <w:ind w:firstLine="0"/>
        <w:rPr>
          <w:szCs w:val="28"/>
        </w:rPr>
      </w:pPr>
      <w:r>
        <w:rPr>
          <w:szCs w:val="28"/>
        </w:rPr>
        <w:t>-   в создании благоприятных условий для активной и разнообразной творческой деятельности жителей муниципального округа;</w:t>
      </w:r>
    </w:p>
    <w:p w14:paraId="105DF9CF">
      <w:pPr>
        <w:ind w:firstLine="0"/>
        <w:rPr>
          <w:szCs w:val="28"/>
        </w:rPr>
      </w:pPr>
      <w:r>
        <w:rPr>
          <w:szCs w:val="28"/>
        </w:rPr>
        <w:t>- в расширении доступа населению к качественным культурным благам и информации в сфере культуры;</w:t>
      </w:r>
    </w:p>
    <w:p w14:paraId="0CDD9E44">
      <w:pPr>
        <w:ind w:firstLine="0"/>
        <w:rPr>
          <w:szCs w:val="28"/>
        </w:rPr>
      </w:pPr>
      <w:r>
        <w:rPr>
          <w:szCs w:val="28"/>
        </w:rPr>
        <w:t>-  в осуществлении эффективной кадровой политики в сфере культуры, в том числе создании дополнительных рабочих мест.</w:t>
      </w:r>
    </w:p>
    <w:p w14:paraId="193BF19C">
      <w:pPr>
        <w:rPr>
          <w:szCs w:val="28"/>
        </w:rPr>
      </w:pPr>
    </w:p>
    <w:p w14:paraId="0BB71769">
      <w:pPr>
        <w:ind w:left="0" w:leftChars="0" w:firstLine="0" w:firstLineChars="0"/>
        <w:jc w:val="center"/>
        <w:rPr>
          <w:rFonts w:hint="default"/>
          <w:szCs w:val="28"/>
          <w:lang w:val="ru-RU"/>
        </w:rPr>
      </w:pPr>
      <w:r>
        <w:rPr>
          <w:rFonts w:hint="default"/>
          <w:szCs w:val="28"/>
          <w:lang w:val="ru-RU"/>
        </w:rPr>
        <w:t>_______________________</w:t>
      </w:r>
    </w:p>
    <w:p w14:paraId="7B1E19A7">
      <w:pPr>
        <w:spacing w:after="0"/>
        <w:ind w:left="5529" w:firstLine="0"/>
        <w:rPr>
          <w:szCs w:val="28"/>
        </w:rPr>
      </w:pPr>
    </w:p>
    <w:p w14:paraId="21AA95C2">
      <w:pPr>
        <w:ind w:firstLine="0"/>
        <w:jc w:val="center"/>
        <w:rPr>
          <w:rFonts w:eastAsia="SimSun"/>
          <w:szCs w:val="28"/>
        </w:rPr>
        <w:sectPr>
          <w:pgSz w:w="11905" w:h="16838"/>
          <w:pgMar w:top="1134" w:right="850" w:bottom="584" w:left="1701" w:header="720" w:footer="720" w:gutter="0"/>
          <w:cols w:space="720" w:num="1"/>
          <w:docGrid w:linePitch="381" w:charSpace="0"/>
        </w:sectPr>
      </w:pPr>
    </w:p>
    <w:p w14:paraId="4801BB5C">
      <w:pPr>
        <w:autoSpaceDE w:val="0"/>
        <w:autoSpaceDN w:val="0"/>
        <w:adjustRightInd w:val="0"/>
        <w:ind w:left="16721" w:leftChars="4100" w:hanging="5241" w:hangingChars="1899"/>
        <w:jc w:val="both"/>
        <w:rPr>
          <w:rFonts w:hint="default" w:ascii="Times New Roman" w:hAnsi="Times New Roman" w:cs="Times New Roman"/>
          <w:spacing w:val="-2"/>
          <w:lang w:val="ru-RU"/>
        </w:rPr>
      </w:pPr>
      <w:r>
        <w:rPr>
          <w:rFonts w:hint="default" w:ascii="Times New Roman" w:hAnsi="Times New Roman" w:cs="Times New Roman"/>
          <w:spacing w:val="-2"/>
        </w:rPr>
        <w:t>Приложение</w:t>
      </w:r>
      <w:r>
        <w:rPr>
          <w:rFonts w:hint="default" w:ascii="Times New Roman" w:hAnsi="Times New Roman" w:cs="Times New Roman"/>
          <w:spacing w:val="-2"/>
          <w:lang w:val="ru-RU"/>
        </w:rPr>
        <w:t xml:space="preserve"> 1</w:t>
      </w:r>
    </w:p>
    <w:p w14:paraId="46DFFA30">
      <w:pPr>
        <w:rPr>
          <w:rFonts w:hint="default" w:ascii="Times New Roman" w:hAnsi="Times New Roman" w:cs="Times New Roman"/>
        </w:rPr>
      </w:pPr>
    </w:p>
    <w:p w14:paraId="01E18E76">
      <w:pPr>
        <w:spacing w:after="0"/>
        <w:ind w:left="5529" w:leftChars="0" w:firstLine="5950" w:firstLineChars="2125"/>
        <w:rPr>
          <w:rFonts w:hint="default" w:ascii="Times New Roman" w:hAnsi="Times New Roman" w:cs="Times New Roman"/>
          <w:szCs w:val="28"/>
        </w:rPr>
      </w:pPr>
      <w:r>
        <w:rPr>
          <w:rFonts w:hint="default" w:ascii="Times New Roman" w:hAnsi="Times New Roman" w:cs="Times New Roman"/>
          <w:szCs w:val="28"/>
        </w:rPr>
        <w:t>Приложение №1</w:t>
      </w:r>
    </w:p>
    <w:p w14:paraId="28B3CCC3">
      <w:pPr>
        <w:spacing w:after="0"/>
        <w:ind w:left="5529" w:leftChars="0" w:firstLine="5950" w:firstLineChars="2125"/>
        <w:rPr>
          <w:rFonts w:hint="default" w:ascii="Times New Roman" w:hAnsi="Times New Roman" w:cs="Times New Roman"/>
          <w:szCs w:val="28"/>
        </w:rPr>
      </w:pPr>
      <w:r>
        <w:rPr>
          <w:rFonts w:hint="default" w:ascii="Times New Roman" w:hAnsi="Times New Roman" w:cs="Times New Roman"/>
          <w:szCs w:val="28"/>
        </w:rPr>
        <w:t>К муниципальной программе</w:t>
      </w:r>
    </w:p>
    <w:p w14:paraId="203F2ABD">
      <w:pPr>
        <w:jc w:val="center"/>
        <w:rPr>
          <w:rFonts w:hint="default" w:ascii="Times New Roman" w:hAnsi="Times New Roman" w:eastAsia="SimSun" w:cs="Times New Roman"/>
          <w:szCs w:val="28"/>
        </w:rPr>
      </w:pPr>
    </w:p>
    <w:p w14:paraId="3095DD08">
      <w:pPr>
        <w:jc w:val="center"/>
        <w:rPr>
          <w:rFonts w:hint="default" w:ascii="Times New Roman" w:hAnsi="Times New Roman" w:eastAsia="SimSun" w:cs="Times New Roman"/>
          <w:szCs w:val="28"/>
        </w:rPr>
      </w:pPr>
      <w:r>
        <w:rPr>
          <w:rFonts w:hint="default" w:ascii="Times New Roman" w:hAnsi="Times New Roman" w:eastAsia="SimSun" w:cs="Times New Roman"/>
          <w:szCs w:val="28"/>
        </w:rPr>
        <w:t>Сведения о целевых показателях эффективности</w:t>
      </w:r>
    </w:p>
    <w:p w14:paraId="368F95F9">
      <w:pPr>
        <w:jc w:val="center"/>
        <w:rPr>
          <w:rFonts w:hint="default" w:ascii="Times New Roman" w:hAnsi="Times New Roman" w:eastAsia="SimSun" w:cs="Times New Roman"/>
          <w:szCs w:val="28"/>
        </w:rPr>
      </w:pPr>
      <w:r>
        <w:rPr>
          <w:rFonts w:hint="default" w:ascii="Times New Roman" w:hAnsi="Times New Roman" w:eastAsia="SimSun" w:cs="Times New Roman"/>
          <w:szCs w:val="28"/>
        </w:rPr>
        <w:t>реализации муниципальной программы</w:t>
      </w:r>
    </w:p>
    <w:p w14:paraId="23F65A19">
      <w:pPr>
        <w:jc w:val="center"/>
        <w:rPr>
          <w:rFonts w:hint="default" w:ascii="Times New Roman" w:hAnsi="Times New Roman" w:eastAsia="SimSun" w:cs="Times New Roman"/>
          <w:szCs w:val="28"/>
        </w:rPr>
      </w:pPr>
    </w:p>
    <w:tbl>
      <w:tblPr>
        <w:tblStyle w:val="3"/>
        <w:tblpPr w:leftFromText="180" w:rightFromText="180" w:vertAnchor="text" w:horzAnchor="page" w:tblpX="996" w:tblpY="48"/>
        <w:tblOverlap w:val="never"/>
        <w:tblW w:w="15324" w:type="dxa"/>
        <w:tblInd w:w="0" w:type="dxa"/>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Layout w:type="fixed"/>
        <w:tblCellMar>
          <w:top w:w="0" w:type="dxa"/>
          <w:left w:w="10" w:type="dxa"/>
          <w:bottom w:w="0" w:type="dxa"/>
          <w:right w:w="10" w:type="dxa"/>
        </w:tblCellMar>
      </w:tblPr>
      <w:tblGrid>
        <w:gridCol w:w="596"/>
        <w:gridCol w:w="6375"/>
        <w:gridCol w:w="1212"/>
        <w:gridCol w:w="852"/>
        <w:gridCol w:w="898"/>
        <w:gridCol w:w="735"/>
        <w:gridCol w:w="780"/>
        <w:gridCol w:w="870"/>
        <w:gridCol w:w="825"/>
        <w:gridCol w:w="795"/>
        <w:gridCol w:w="735"/>
        <w:gridCol w:w="651"/>
      </w:tblGrid>
      <w:tr w14:paraId="0C05829C">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423" w:hRule="atLeast"/>
        </w:trPr>
        <w:tc>
          <w:tcPr>
            <w:tcW w:w="596"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B01F126">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п/п</w:t>
            </w:r>
            <w:r>
              <w:rPr>
                <w:rFonts w:hint="default" w:ascii="Times New Roman" w:hAnsi="Times New Roman" w:eastAsia="SimSun" w:cs="Times New Roman"/>
                <w:sz w:val="22"/>
                <w:szCs w:val="22"/>
              </w:rPr>
              <w:br w:type="textWrapping"/>
            </w:r>
          </w:p>
        </w:tc>
        <w:tc>
          <w:tcPr>
            <w:tcW w:w="6375"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54B29279">
            <w:pPr>
              <w:ind w:right="5"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Наименование муниципальной программы, наименование показателей</w:t>
            </w:r>
          </w:p>
        </w:tc>
        <w:tc>
          <w:tcPr>
            <w:tcW w:w="1212" w:type="dxa"/>
            <w:vMerge w:val="restart"/>
            <w:tcBorders>
              <w:top w:val="single" w:color="00000A" w:sz="4" w:space="0"/>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3746E464">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Единица </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изме-</w:t>
            </w:r>
            <w:r>
              <w:rPr>
                <w:rFonts w:hint="default" w:ascii="Times New Roman" w:hAnsi="Times New Roman" w:eastAsia="SimSun" w:cs="Times New Roman"/>
                <w:sz w:val="22"/>
                <w:szCs w:val="22"/>
              </w:rPr>
              <w:br w:type="textWrapping"/>
            </w:r>
            <w:r>
              <w:rPr>
                <w:rFonts w:hint="default" w:ascii="Times New Roman" w:hAnsi="Times New Roman" w:eastAsia="SimSun" w:cs="Times New Roman"/>
                <w:sz w:val="22"/>
                <w:szCs w:val="22"/>
              </w:rPr>
              <w:t>рения</w:t>
            </w:r>
          </w:p>
        </w:tc>
        <w:tc>
          <w:tcPr>
            <w:tcW w:w="7141" w:type="dxa"/>
            <w:gridSpan w:val="9"/>
            <w:tcBorders>
              <w:top w:val="single" w:color="00000A" w:sz="4" w:space="0"/>
              <w:left w:val="single" w:color="00000A" w:sz="4" w:space="0"/>
              <w:bottom w:val="single" w:color="00000A" w:sz="4" w:space="0"/>
              <w:right w:val="single" w:color="auto" w:sz="4" w:space="0"/>
            </w:tcBorders>
            <w:shd w:val="clear" w:color="auto" w:fill="FFFFFF"/>
            <w:noWrap w:val="0"/>
            <w:vAlign w:val="top"/>
          </w:tcPr>
          <w:p w14:paraId="794C2BD1">
            <w:pPr>
              <w:tabs>
                <w:tab w:val="left" w:pos="720"/>
                <w:tab w:val="left" w:pos="7200"/>
                <w:tab w:val="left" w:pos="7440"/>
                <w:tab w:val="left" w:pos="8400"/>
              </w:tabs>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Значение показателя эффективности</w:t>
            </w:r>
          </w:p>
        </w:tc>
      </w:tr>
      <w:tr w14:paraId="6D2E8F30">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889" w:hRule="atLeast"/>
        </w:trPr>
        <w:tc>
          <w:tcPr>
            <w:tcW w:w="596"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0F7C7BE0">
            <w:pPr>
              <w:ind w:firstLine="0"/>
              <w:rPr>
                <w:rFonts w:hint="default" w:ascii="Times New Roman" w:hAnsi="Times New Roman" w:eastAsia="SimSun" w:cs="Times New Roman"/>
                <w:sz w:val="22"/>
                <w:szCs w:val="22"/>
              </w:rPr>
            </w:pPr>
          </w:p>
        </w:tc>
        <w:tc>
          <w:tcPr>
            <w:tcW w:w="6375"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A8F0FBD">
            <w:pPr>
              <w:ind w:right="5" w:firstLine="14"/>
              <w:rPr>
                <w:rFonts w:hint="default" w:ascii="Times New Roman" w:hAnsi="Times New Roman" w:eastAsia="SimSun" w:cs="Times New Roman"/>
                <w:sz w:val="22"/>
                <w:szCs w:val="22"/>
              </w:rPr>
            </w:pPr>
          </w:p>
        </w:tc>
        <w:tc>
          <w:tcPr>
            <w:tcW w:w="1212" w:type="dxa"/>
            <w:vMerge w:val="continue"/>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7D38A0B9">
            <w:pPr>
              <w:rPr>
                <w:rFonts w:hint="default" w:ascii="Times New Roman" w:hAnsi="Times New Roman" w:eastAsia="SimSun" w:cs="Times New Roman"/>
                <w:sz w:val="22"/>
                <w:szCs w:val="22"/>
              </w:rPr>
            </w:pPr>
          </w:p>
        </w:tc>
        <w:tc>
          <w:tcPr>
            <w:tcW w:w="852" w:type="dxa"/>
            <w:tcBorders>
              <w:left w:val="single" w:color="00000A" w:sz="4" w:space="0"/>
              <w:bottom w:val="single" w:color="00000A" w:sz="4" w:space="0"/>
              <w:right w:val="single" w:color="00000A" w:sz="4" w:space="0"/>
            </w:tcBorders>
            <w:shd w:val="clear" w:color="auto" w:fill="FFFFFF"/>
            <w:noWrap w:val="0"/>
            <w:vAlign w:val="top"/>
          </w:tcPr>
          <w:p w14:paraId="253C2107">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2020</w:t>
            </w:r>
          </w:p>
          <w:p w14:paraId="6254F91E">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lang w:val="en-US"/>
              </w:rPr>
              <w:t>(отчёт)</w:t>
            </w:r>
          </w:p>
        </w:tc>
        <w:tc>
          <w:tcPr>
            <w:tcW w:w="898" w:type="dxa"/>
            <w:tcBorders>
              <w:left w:val="single" w:color="00000A" w:sz="4" w:space="0"/>
              <w:bottom w:val="single" w:color="00000A" w:sz="4" w:space="0"/>
              <w:right w:val="single" w:color="00000A" w:sz="4" w:space="0"/>
            </w:tcBorders>
            <w:shd w:val="clear" w:color="auto" w:fill="FFFFFF"/>
            <w:noWrap w:val="0"/>
            <w:vAlign w:val="top"/>
          </w:tcPr>
          <w:p w14:paraId="56FB199C">
            <w:pPr>
              <w:ind w:firstLine="2" w:firstLineChars="1"/>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2021</w:t>
            </w:r>
          </w:p>
          <w:p w14:paraId="617674DF">
            <w:pPr>
              <w:ind w:firstLine="2" w:firstLineChars="1"/>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lang w:val="en-US"/>
              </w:rPr>
              <w:t>(оценка)</w:t>
            </w:r>
          </w:p>
        </w:tc>
        <w:tc>
          <w:tcPr>
            <w:tcW w:w="735" w:type="dxa"/>
            <w:tcBorders>
              <w:left w:val="single" w:color="00000A" w:sz="4" w:space="0"/>
              <w:bottom w:val="single" w:color="00000A" w:sz="4" w:space="0"/>
              <w:right w:val="single" w:color="00000A" w:sz="4" w:space="0"/>
            </w:tcBorders>
            <w:shd w:val="clear" w:color="auto" w:fill="FFFFFF"/>
            <w:noWrap w:val="0"/>
            <w:vAlign w:val="top"/>
          </w:tcPr>
          <w:p w14:paraId="3980119A">
            <w:pPr>
              <w:ind w:firstLine="2" w:firstLineChars="1"/>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2022</w:t>
            </w:r>
          </w:p>
        </w:tc>
        <w:tc>
          <w:tcPr>
            <w:tcW w:w="780" w:type="dxa"/>
            <w:tcBorders>
              <w:left w:val="single" w:color="00000A" w:sz="4" w:space="0"/>
              <w:bottom w:val="single" w:color="00000A" w:sz="4" w:space="0"/>
              <w:right w:val="single" w:color="00000A" w:sz="4" w:space="0"/>
            </w:tcBorders>
            <w:shd w:val="clear" w:color="auto" w:fill="FFFFFF"/>
            <w:noWrap w:val="0"/>
            <w:vAlign w:val="top"/>
          </w:tcPr>
          <w:p w14:paraId="6E1E0004">
            <w:pPr>
              <w:ind w:firstLine="0" w:firstLineChars="0"/>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2023</w:t>
            </w:r>
          </w:p>
        </w:tc>
        <w:tc>
          <w:tcPr>
            <w:tcW w:w="870" w:type="dxa"/>
            <w:tcBorders>
              <w:left w:val="single" w:color="00000A" w:sz="4" w:space="0"/>
              <w:bottom w:val="single" w:color="00000A" w:sz="4" w:space="0"/>
              <w:right w:val="single" w:color="00000A" w:sz="4" w:space="0"/>
            </w:tcBorders>
            <w:shd w:val="clear" w:color="auto" w:fill="FFFFFF"/>
            <w:noWrap w:val="0"/>
            <w:vAlign w:val="top"/>
          </w:tcPr>
          <w:p w14:paraId="02E8B73F">
            <w:pPr>
              <w:ind w:firstLine="0" w:firstLineChars="0"/>
              <w:jc w:val="center"/>
              <w:rPr>
                <w:rFonts w:hint="default" w:ascii="Times New Roman" w:hAnsi="Times New Roman" w:eastAsia="SimSun" w:cs="Times New Roman"/>
                <w:sz w:val="22"/>
                <w:szCs w:val="22"/>
                <w:lang w:val="en-US"/>
              </w:rPr>
            </w:pPr>
            <w:r>
              <w:rPr>
                <w:rFonts w:hint="default" w:ascii="Times New Roman" w:hAnsi="Times New Roman" w:eastAsia="SimSun" w:cs="Times New Roman"/>
                <w:sz w:val="22"/>
                <w:szCs w:val="22"/>
              </w:rPr>
              <w:t>2024</w:t>
            </w:r>
          </w:p>
        </w:tc>
        <w:tc>
          <w:tcPr>
            <w:tcW w:w="825" w:type="dxa"/>
            <w:tcBorders>
              <w:left w:val="single" w:color="00000A" w:sz="4" w:space="0"/>
              <w:bottom w:val="single" w:color="00000A" w:sz="4" w:space="0"/>
              <w:right w:val="single" w:color="00000A" w:sz="4" w:space="0"/>
            </w:tcBorders>
            <w:shd w:val="clear" w:color="auto" w:fill="FFFFFF"/>
            <w:noWrap w:val="0"/>
            <w:vAlign w:val="top"/>
          </w:tcPr>
          <w:p w14:paraId="40DB43A8">
            <w:pPr>
              <w:tabs>
                <w:tab w:val="left" w:pos="659"/>
              </w:tabs>
              <w:ind w:firstLine="0" w:firstLineChars="0"/>
              <w:jc w:val="center"/>
              <w:rPr>
                <w:rFonts w:hint="default" w:ascii="Times New Roman" w:hAnsi="Times New Roman" w:eastAsia="SimSun" w:cs="Times New Roman"/>
                <w:sz w:val="22"/>
                <w:szCs w:val="22"/>
              </w:rPr>
            </w:pPr>
            <w:r>
              <w:rPr>
                <w:rFonts w:hint="default" w:ascii="Times New Roman" w:hAnsi="Times New Roman" w:cs="Times New Roman"/>
                <w:sz w:val="22"/>
                <w:szCs w:val="22"/>
                <w:lang w:val="ru-RU"/>
              </w:rPr>
              <w:t>2025</w:t>
            </w:r>
          </w:p>
        </w:tc>
        <w:tc>
          <w:tcPr>
            <w:tcW w:w="795" w:type="dxa"/>
            <w:tcBorders>
              <w:left w:val="single" w:color="00000A" w:sz="4" w:space="0"/>
              <w:bottom w:val="single" w:color="00000A" w:sz="4" w:space="0"/>
              <w:right w:val="single" w:color="00000A" w:sz="4" w:space="0"/>
            </w:tcBorders>
            <w:shd w:val="clear" w:color="auto" w:fill="FFFFFF"/>
            <w:noWrap w:val="0"/>
            <w:vAlign w:val="top"/>
          </w:tcPr>
          <w:p w14:paraId="5489629A">
            <w:pPr>
              <w:tabs>
                <w:tab w:val="left" w:pos="659"/>
                <w:tab w:val="left" w:pos="720"/>
                <w:tab w:val="left" w:pos="7440"/>
                <w:tab w:val="left" w:pos="8400"/>
              </w:tabs>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2026</w:t>
            </w:r>
          </w:p>
        </w:tc>
        <w:tc>
          <w:tcPr>
            <w:tcW w:w="735" w:type="dxa"/>
            <w:tcBorders>
              <w:left w:val="single" w:color="00000A" w:sz="4" w:space="0"/>
              <w:bottom w:val="single" w:color="00000A" w:sz="4" w:space="0"/>
              <w:right w:val="single" w:color="00000A" w:sz="4" w:space="0"/>
            </w:tcBorders>
            <w:shd w:val="clear" w:color="auto" w:fill="FFFFFF"/>
            <w:noWrap w:val="0"/>
            <w:vAlign w:val="top"/>
          </w:tcPr>
          <w:p w14:paraId="3443968E">
            <w:pPr>
              <w:tabs>
                <w:tab w:val="left" w:pos="659"/>
              </w:tabs>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2027</w:t>
            </w:r>
          </w:p>
        </w:tc>
        <w:tc>
          <w:tcPr>
            <w:tcW w:w="651" w:type="dxa"/>
            <w:tcBorders>
              <w:left w:val="single" w:color="00000A" w:sz="4" w:space="0"/>
              <w:bottom w:val="single" w:color="00000A" w:sz="4" w:space="0"/>
              <w:right w:val="single" w:color="00000A" w:sz="4" w:space="0"/>
            </w:tcBorders>
            <w:shd w:val="clear" w:color="auto" w:fill="FFFFFF"/>
            <w:noWrap w:val="0"/>
            <w:vAlign w:val="top"/>
          </w:tcPr>
          <w:p w14:paraId="750A9BFF">
            <w:pPr>
              <w:tabs>
                <w:tab w:val="left" w:pos="659"/>
                <w:tab w:val="left" w:pos="6480"/>
              </w:tabs>
              <w:ind w:firstLine="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2028</w:t>
            </w:r>
          </w:p>
        </w:tc>
      </w:tr>
      <w:tr w14:paraId="6EB773FA">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360"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162512EA">
            <w:pPr>
              <w:ind w:firstLine="0"/>
              <w:rPr>
                <w:rFonts w:hint="default" w:ascii="Times New Roman" w:hAnsi="Times New Roman" w:eastAsia="SimSun" w:cs="Times New Roman"/>
                <w:sz w:val="22"/>
                <w:szCs w:val="22"/>
              </w:rPr>
            </w:pP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D6D5D85">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Муниципальная программа «Развитие культуры и туризма Лебяжского муниципального округа»       </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64ECA06D">
            <w:pPr>
              <w:ind w:left="0" w:leftChars="0" w:firstLine="479" w:firstLineChars="218"/>
              <w:rPr>
                <w:rFonts w:hint="default" w:ascii="Times New Roman" w:hAnsi="Times New Roman" w:eastAsia="SimSun" w:cs="Times New Roman"/>
                <w:sz w:val="22"/>
                <w:szCs w:val="22"/>
              </w:rPr>
            </w:pPr>
          </w:p>
        </w:tc>
        <w:tc>
          <w:tcPr>
            <w:tcW w:w="852" w:type="dxa"/>
            <w:tcBorders>
              <w:left w:val="single" w:color="00000A" w:sz="4" w:space="0"/>
              <w:bottom w:val="single" w:color="00000A" w:sz="4" w:space="0"/>
              <w:right w:val="single" w:color="00000A" w:sz="4" w:space="0"/>
            </w:tcBorders>
            <w:shd w:val="clear" w:color="auto" w:fill="FFFFFF"/>
            <w:noWrap w:val="0"/>
            <w:vAlign w:val="top"/>
          </w:tcPr>
          <w:p w14:paraId="2E882CF3">
            <w:pPr>
              <w:ind w:left="0" w:leftChars="0" w:firstLine="479" w:firstLineChars="218"/>
              <w:rPr>
                <w:rFonts w:hint="default" w:ascii="Times New Roman" w:hAnsi="Times New Roman" w:eastAsia="SimSun" w:cs="Times New Roman"/>
                <w:sz w:val="22"/>
                <w:szCs w:val="22"/>
              </w:rPr>
            </w:pPr>
          </w:p>
        </w:tc>
        <w:tc>
          <w:tcPr>
            <w:tcW w:w="898" w:type="dxa"/>
            <w:tcBorders>
              <w:left w:val="single" w:color="00000A" w:sz="4" w:space="0"/>
              <w:bottom w:val="single" w:color="00000A" w:sz="4" w:space="0"/>
              <w:right w:val="single" w:color="00000A" w:sz="4" w:space="0"/>
            </w:tcBorders>
            <w:shd w:val="clear" w:color="auto" w:fill="FFFFFF"/>
            <w:noWrap w:val="0"/>
            <w:vAlign w:val="top"/>
          </w:tcPr>
          <w:p w14:paraId="70C395CF">
            <w:pPr>
              <w:ind w:firstLine="0"/>
              <w:jc w:val="center"/>
              <w:rPr>
                <w:rFonts w:hint="default" w:ascii="Times New Roman" w:hAnsi="Times New Roman" w:eastAsia="SimSun" w:cs="Times New Roman"/>
                <w:sz w:val="22"/>
                <w:szCs w:val="22"/>
              </w:rPr>
            </w:pPr>
          </w:p>
        </w:tc>
        <w:tc>
          <w:tcPr>
            <w:tcW w:w="735" w:type="dxa"/>
            <w:tcBorders>
              <w:left w:val="single" w:color="00000A" w:sz="4" w:space="0"/>
              <w:bottom w:val="single" w:color="00000A" w:sz="4" w:space="0"/>
              <w:right w:val="single" w:color="00000A" w:sz="4" w:space="0"/>
            </w:tcBorders>
            <w:shd w:val="clear" w:color="auto" w:fill="FFFFFF"/>
            <w:noWrap w:val="0"/>
            <w:vAlign w:val="top"/>
          </w:tcPr>
          <w:p w14:paraId="2323CEDD">
            <w:pPr>
              <w:rPr>
                <w:rFonts w:hint="default" w:ascii="Times New Roman" w:hAnsi="Times New Roman" w:eastAsia="SimSun" w:cs="Times New Roman"/>
                <w:sz w:val="22"/>
                <w:szCs w:val="22"/>
              </w:rPr>
            </w:pPr>
          </w:p>
        </w:tc>
        <w:tc>
          <w:tcPr>
            <w:tcW w:w="780" w:type="dxa"/>
            <w:tcBorders>
              <w:left w:val="single" w:color="00000A" w:sz="4" w:space="0"/>
              <w:bottom w:val="single" w:color="00000A" w:sz="4" w:space="0"/>
              <w:right w:val="single" w:color="00000A" w:sz="4" w:space="0"/>
            </w:tcBorders>
            <w:shd w:val="clear" w:color="auto" w:fill="FFFFFF"/>
            <w:noWrap w:val="0"/>
            <w:vAlign w:val="top"/>
          </w:tcPr>
          <w:p w14:paraId="4C7992B2">
            <w:pPr>
              <w:jc w:val="center"/>
              <w:rPr>
                <w:rFonts w:hint="default" w:ascii="Times New Roman" w:hAnsi="Times New Roman" w:eastAsia="SimSun" w:cs="Times New Roman"/>
                <w:sz w:val="22"/>
                <w:szCs w:val="22"/>
              </w:rPr>
            </w:pPr>
          </w:p>
        </w:tc>
        <w:tc>
          <w:tcPr>
            <w:tcW w:w="870" w:type="dxa"/>
            <w:tcBorders>
              <w:left w:val="single" w:color="00000A" w:sz="4" w:space="0"/>
              <w:bottom w:val="single" w:color="00000A" w:sz="4" w:space="0"/>
              <w:right w:val="single" w:color="00000A" w:sz="4" w:space="0"/>
            </w:tcBorders>
            <w:shd w:val="clear" w:color="auto" w:fill="FFFFFF"/>
            <w:noWrap w:val="0"/>
            <w:vAlign w:val="top"/>
          </w:tcPr>
          <w:p w14:paraId="6098C0FE">
            <w:pPr>
              <w:jc w:val="center"/>
              <w:rPr>
                <w:rFonts w:hint="default" w:ascii="Times New Roman" w:hAnsi="Times New Roman" w:eastAsia="SimSun" w:cs="Times New Roman"/>
                <w:sz w:val="22"/>
                <w:szCs w:val="22"/>
              </w:rPr>
            </w:pPr>
          </w:p>
        </w:tc>
        <w:tc>
          <w:tcPr>
            <w:tcW w:w="825" w:type="dxa"/>
            <w:tcBorders>
              <w:left w:val="single" w:color="00000A" w:sz="4" w:space="0"/>
              <w:bottom w:val="single" w:color="00000A" w:sz="4" w:space="0"/>
              <w:right w:val="single" w:color="00000A" w:sz="4" w:space="0"/>
            </w:tcBorders>
            <w:shd w:val="clear" w:color="auto" w:fill="FFFFFF"/>
            <w:noWrap w:val="0"/>
            <w:vAlign w:val="top"/>
          </w:tcPr>
          <w:p w14:paraId="709757AF">
            <w:pPr>
              <w:jc w:val="center"/>
              <w:rPr>
                <w:rFonts w:hint="default" w:ascii="Times New Roman" w:hAnsi="Times New Roman" w:eastAsia="SimSun" w:cs="Times New Roman"/>
                <w:sz w:val="22"/>
                <w:szCs w:val="22"/>
              </w:rPr>
            </w:pPr>
          </w:p>
        </w:tc>
        <w:tc>
          <w:tcPr>
            <w:tcW w:w="795" w:type="dxa"/>
            <w:tcBorders>
              <w:left w:val="single" w:color="00000A" w:sz="4" w:space="0"/>
              <w:bottom w:val="single" w:color="00000A" w:sz="4" w:space="0"/>
              <w:right w:val="single" w:color="00000A" w:sz="4" w:space="0"/>
            </w:tcBorders>
            <w:shd w:val="clear" w:color="auto" w:fill="FFFFFF"/>
            <w:noWrap w:val="0"/>
            <w:vAlign w:val="top"/>
          </w:tcPr>
          <w:p w14:paraId="5318D653">
            <w:pPr>
              <w:tabs>
                <w:tab w:val="left" w:pos="720"/>
                <w:tab w:val="left" w:pos="7200"/>
                <w:tab w:val="left" w:pos="7440"/>
                <w:tab w:val="left" w:pos="8400"/>
              </w:tabs>
              <w:jc w:val="center"/>
              <w:rPr>
                <w:rFonts w:hint="default" w:ascii="Times New Roman" w:hAnsi="Times New Roman" w:eastAsia="SimSun" w:cs="Times New Roman"/>
                <w:sz w:val="22"/>
                <w:szCs w:val="22"/>
              </w:rPr>
            </w:pPr>
          </w:p>
        </w:tc>
        <w:tc>
          <w:tcPr>
            <w:tcW w:w="735" w:type="dxa"/>
            <w:tcBorders>
              <w:left w:val="single" w:color="00000A" w:sz="4" w:space="0"/>
              <w:bottom w:val="single" w:color="00000A" w:sz="4" w:space="0"/>
              <w:right w:val="single" w:color="00000A" w:sz="4" w:space="0"/>
            </w:tcBorders>
            <w:shd w:val="clear" w:color="auto" w:fill="FFFFFF"/>
            <w:noWrap w:val="0"/>
            <w:vAlign w:val="top"/>
          </w:tcPr>
          <w:p w14:paraId="5B47C04E">
            <w:pPr>
              <w:jc w:val="center"/>
              <w:rPr>
                <w:rFonts w:hint="default" w:ascii="Times New Roman" w:hAnsi="Times New Roman" w:eastAsia="SimSun" w:cs="Times New Roman"/>
                <w:sz w:val="22"/>
                <w:szCs w:val="22"/>
              </w:rPr>
            </w:pPr>
          </w:p>
        </w:tc>
        <w:tc>
          <w:tcPr>
            <w:tcW w:w="651" w:type="dxa"/>
            <w:tcBorders>
              <w:left w:val="single" w:color="00000A" w:sz="4" w:space="0"/>
              <w:bottom w:val="single" w:color="00000A" w:sz="4" w:space="0"/>
              <w:right w:val="single" w:color="00000A" w:sz="4" w:space="0"/>
            </w:tcBorders>
            <w:shd w:val="clear" w:color="auto" w:fill="FFFFFF"/>
            <w:noWrap w:val="0"/>
            <w:vAlign w:val="top"/>
          </w:tcPr>
          <w:p w14:paraId="326FC9B9">
            <w:pPr>
              <w:jc w:val="center"/>
              <w:rPr>
                <w:rFonts w:hint="default" w:ascii="Times New Roman" w:hAnsi="Times New Roman" w:eastAsia="SimSun" w:cs="Times New Roman"/>
                <w:sz w:val="22"/>
                <w:szCs w:val="22"/>
              </w:rPr>
            </w:pPr>
          </w:p>
        </w:tc>
      </w:tr>
      <w:tr w14:paraId="03F9B10C">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01"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F953570">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1</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78101D62">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 xml:space="preserve">Увеличение количества посещений организаций культуры по отношению к уровню 2020 г. </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4D307413">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4E3C6A75">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52 000</w:t>
            </w:r>
          </w:p>
        </w:tc>
        <w:tc>
          <w:tcPr>
            <w:tcW w:w="898" w:type="dxa"/>
            <w:tcBorders>
              <w:left w:val="single" w:color="00000A" w:sz="4" w:space="0"/>
              <w:bottom w:val="single" w:color="00000A" w:sz="4" w:space="0"/>
              <w:right w:val="single" w:color="00000A" w:sz="4" w:space="0"/>
            </w:tcBorders>
            <w:shd w:val="clear" w:color="auto" w:fill="FFFFFF"/>
            <w:noWrap w:val="0"/>
            <w:vAlign w:val="center"/>
          </w:tcPr>
          <w:p w14:paraId="6E9E34BF">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53 000</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5EEE3FF6">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53 500</w:t>
            </w:r>
          </w:p>
        </w:tc>
        <w:tc>
          <w:tcPr>
            <w:tcW w:w="780" w:type="dxa"/>
            <w:tcBorders>
              <w:left w:val="single" w:color="00000A" w:sz="4" w:space="0"/>
              <w:bottom w:val="single" w:color="00000A" w:sz="4" w:space="0"/>
              <w:right w:val="single" w:color="00000A" w:sz="4" w:space="0"/>
            </w:tcBorders>
            <w:shd w:val="clear" w:color="auto" w:fill="FFFFFF"/>
            <w:noWrap w:val="0"/>
            <w:vAlign w:val="center"/>
          </w:tcPr>
          <w:p w14:paraId="6BE33773">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54 000</w:t>
            </w:r>
          </w:p>
        </w:tc>
        <w:tc>
          <w:tcPr>
            <w:tcW w:w="870" w:type="dxa"/>
            <w:tcBorders>
              <w:left w:val="single" w:color="00000A" w:sz="4" w:space="0"/>
              <w:bottom w:val="single" w:color="00000A" w:sz="4" w:space="0"/>
              <w:right w:val="single" w:color="00000A" w:sz="4" w:space="0"/>
            </w:tcBorders>
            <w:shd w:val="clear" w:color="auto" w:fill="FFFFFF"/>
            <w:noWrap w:val="0"/>
            <w:vAlign w:val="center"/>
          </w:tcPr>
          <w:p w14:paraId="2B6F4360">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54 500</w:t>
            </w:r>
          </w:p>
        </w:tc>
        <w:tc>
          <w:tcPr>
            <w:tcW w:w="825" w:type="dxa"/>
            <w:tcBorders>
              <w:left w:val="single" w:color="00000A" w:sz="4" w:space="0"/>
              <w:bottom w:val="single" w:color="00000A" w:sz="4" w:space="0"/>
              <w:right w:val="single" w:color="00000A" w:sz="4" w:space="0"/>
            </w:tcBorders>
            <w:shd w:val="clear" w:color="auto" w:fill="FFFFFF"/>
            <w:noWrap w:val="0"/>
            <w:vAlign w:val="center"/>
          </w:tcPr>
          <w:p w14:paraId="17E1861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55 000</w:t>
            </w:r>
          </w:p>
        </w:tc>
        <w:tc>
          <w:tcPr>
            <w:tcW w:w="795" w:type="dxa"/>
            <w:tcBorders>
              <w:left w:val="single" w:color="00000A" w:sz="4" w:space="0"/>
              <w:bottom w:val="single" w:color="00000A" w:sz="4" w:space="0"/>
              <w:right w:val="single" w:color="00000A" w:sz="4" w:space="0"/>
            </w:tcBorders>
            <w:shd w:val="clear" w:color="auto" w:fill="FFFFFF"/>
            <w:noWrap w:val="0"/>
            <w:vAlign w:val="center"/>
          </w:tcPr>
          <w:p w14:paraId="59B2C60F">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55 500</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4D838EFE">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56000</w:t>
            </w:r>
          </w:p>
        </w:tc>
        <w:tc>
          <w:tcPr>
            <w:tcW w:w="651" w:type="dxa"/>
            <w:tcBorders>
              <w:left w:val="single" w:color="00000A" w:sz="4" w:space="0"/>
              <w:bottom w:val="single" w:color="00000A" w:sz="4" w:space="0"/>
              <w:right w:val="single" w:color="00000A" w:sz="4" w:space="0"/>
            </w:tcBorders>
            <w:shd w:val="clear" w:color="auto" w:fill="FFFFFF"/>
            <w:noWrap w:val="0"/>
            <w:vAlign w:val="center"/>
          </w:tcPr>
          <w:p w14:paraId="1F03EB14">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56000</w:t>
            </w:r>
          </w:p>
        </w:tc>
      </w:tr>
      <w:tr w14:paraId="7AA2D41D">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372"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44B24C56">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6E7CAC4">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Рост посещений библиотек на 1 жителя в год</w:t>
            </w:r>
          </w:p>
          <w:p w14:paraId="65EFE30B">
            <w:pPr>
              <w:ind w:right="5" w:firstLine="14"/>
              <w:rPr>
                <w:rFonts w:hint="default" w:ascii="Times New Roman" w:hAnsi="Times New Roman" w:eastAsia="SimSun" w:cs="Times New Roman"/>
                <w:sz w:val="22"/>
                <w:szCs w:val="22"/>
              </w:rPr>
            </w:pP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43B37391">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3700FA86">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w:t>
            </w:r>
          </w:p>
        </w:tc>
        <w:tc>
          <w:tcPr>
            <w:tcW w:w="898" w:type="dxa"/>
            <w:tcBorders>
              <w:left w:val="single" w:color="00000A" w:sz="4" w:space="0"/>
              <w:bottom w:val="single" w:color="00000A" w:sz="4" w:space="0"/>
              <w:right w:val="single" w:color="00000A" w:sz="4" w:space="0"/>
            </w:tcBorders>
            <w:shd w:val="clear" w:color="auto" w:fill="FFFFFF"/>
            <w:noWrap w:val="0"/>
            <w:vAlign w:val="center"/>
          </w:tcPr>
          <w:p w14:paraId="6F9CBCA1">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460A7E07">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780" w:type="dxa"/>
            <w:tcBorders>
              <w:left w:val="single" w:color="00000A" w:sz="4" w:space="0"/>
              <w:bottom w:val="single" w:color="00000A" w:sz="4" w:space="0"/>
              <w:right w:val="single" w:color="00000A" w:sz="4" w:space="0"/>
            </w:tcBorders>
            <w:shd w:val="clear" w:color="auto" w:fill="FFFFFF"/>
            <w:noWrap w:val="0"/>
            <w:vAlign w:val="center"/>
          </w:tcPr>
          <w:p w14:paraId="3E892AE2">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11</w:t>
            </w:r>
          </w:p>
        </w:tc>
        <w:tc>
          <w:tcPr>
            <w:tcW w:w="870" w:type="dxa"/>
            <w:tcBorders>
              <w:left w:val="single" w:color="00000A" w:sz="4" w:space="0"/>
              <w:bottom w:val="single" w:color="00000A" w:sz="4" w:space="0"/>
              <w:right w:val="single" w:color="00000A" w:sz="4" w:space="0"/>
            </w:tcBorders>
            <w:shd w:val="clear" w:color="auto" w:fill="FFFFFF"/>
            <w:noWrap w:val="0"/>
            <w:vAlign w:val="center"/>
          </w:tcPr>
          <w:p w14:paraId="7317738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11</w:t>
            </w:r>
          </w:p>
        </w:tc>
        <w:tc>
          <w:tcPr>
            <w:tcW w:w="825" w:type="dxa"/>
            <w:tcBorders>
              <w:left w:val="single" w:color="00000A" w:sz="4" w:space="0"/>
              <w:bottom w:val="single" w:color="00000A" w:sz="4" w:space="0"/>
              <w:right w:val="single" w:color="00000A" w:sz="4" w:space="0"/>
            </w:tcBorders>
            <w:shd w:val="clear" w:color="auto" w:fill="FFFFFF"/>
            <w:noWrap w:val="0"/>
            <w:vAlign w:val="center"/>
          </w:tcPr>
          <w:p w14:paraId="1065E42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w:t>
            </w:r>
          </w:p>
        </w:tc>
        <w:tc>
          <w:tcPr>
            <w:tcW w:w="795" w:type="dxa"/>
            <w:tcBorders>
              <w:left w:val="single" w:color="00000A" w:sz="4" w:space="0"/>
              <w:bottom w:val="single" w:color="00000A" w:sz="4" w:space="0"/>
              <w:right w:val="single" w:color="00000A" w:sz="4" w:space="0"/>
            </w:tcBorders>
            <w:shd w:val="clear" w:color="auto" w:fill="FFFFFF"/>
            <w:noWrap w:val="0"/>
            <w:vAlign w:val="center"/>
          </w:tcPr>
          <w:p w14:paraId="7C8A25D3">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12</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593E96B9">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12</w:t>
            </w:r>
          </w:p>
        </w:tc>
        <w:tc>
          <w:tcPr>
            <w:tcW w:w="651" w:type="dxa"/>
            <w:tcBorders>
              <w:left w:val="single" w:color="00000A" w:sz="4" w:space="0"/>
              <w:bottom w:val="single" w:color="00000A" w:sz="4" w:space="0"/>
              <w:right w:val="single" w:color="00000A" w:sz="4" w:space="0"/>
            </w:tcBorders>
            <w:shd w:val="clear" w:color="auto" w:fill="FFFFFF"/>
            <w:noWrap w:val="0"/>
            <w:vAlign w:val="center"/>
          </w:tcPr>
          <w:p w14:paraId="04450070">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12</w:t>
            </w:r>
          </w:p>
        </w:tc>
      </w:tr>
      <w:tr w14:paraId="1A071E6E">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852"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2BFAFF7C">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3</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1D4171CE">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Темп роста численности участников культурно-массовых мероприятий, проводимых учреждениями культурно-досугового типа к предыдущему году</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center"/>
          </w:tcPr>
          <w:p w14:paraId="6425C7D0">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4E95AAEB">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100</w:t>
            </w:r>
          </w:p>
        </w:tc>
        <w:tc>
          <w:tcPr>
            <w:tcW w:w="898" w:type="dxa"/>
            <w:tcBorders>
              <w:left w:val="single" w:color="00000A" w:sz="4" w:space="0"/>
              <w:bottom w:val="single" w:color="00000A" w:sz="4" w:space="0"/>
              <w:right w:val="single" w:color="00000A" w:sz="4" w:space="0"/>
            </w:tcBorders>
            <w:shd w:val="clear" w:color="auto" w:fill="FFFFFF"/>
            <w:noWrap w:val="0"/>
            <w:vAlign w:val="center"/>
          </w:tcPr>
          <w:p w14:paraId="53CE959B">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101</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2F009ACE">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102</w:t>
            </w:r>
          </w:p>
        </w:tc>
        <w:tc>
          <w:tcPr>
            <w:tcW w:w="780" w:type="dxa"/>
            <w:tcBorders>
              <w:left w:val="single" w:color="00000A" w:sz="4" w:space="0"/>
              <w:bottom w:val="single" w:color="00000A" w:sz="4" w:space="0"/>
              <w:right w:val="single" w:color="00000A" w:sz="4" w:space="0"/>
            </w:tcBorders>
            <w:shd w:val="clear" w:color="auto" w:fill="FFFFFF"/>
            <w:noWrap w:val="0"/>
            <w:vAlign w:val="center"/>
          </w:tcPr>
          <w:p w14:paraId="66F27C67">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103</w:t>
            </w:r>
          </w:p>
        </w:tc>
        <w:tc>
          <w:tcPr>
            <w:tcW w:w="870" w:type="dxa"/>
            <w:tcBorders>
              <w:left w:val="single" w:color="00000A" w:sz="4" w:space="0"/>
              <w:bottom w:val="single" w:color="00000A" w:sz="4" w:space="0"/>
              <w:right w:val="single" w:color="00000A" w:sz="4" w:space="0"/>
            </w:tcBorders>
            <w:shd w:val="clear" w:color="auto" w:fill="FFFFFF"/>
            <w:noWrap w:val="0"/>
            <w:vAlign w:val="center"/>
          </w:tcPr>
          <w:p w14:paraId="7066076E">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104</w:t>
            </w:r>
          </w:p>
        </w:tc>
        <w:tc>
          <w:tcPr>
            <w:tcW w:w="825" w:type="dxa"/>
            <w:tcBorders>
              <w:left w:val="single" w:color="00000A" w:sz="4" w:space="0"/>
              <w:bottom w:val="single" w:color="00000A" w:sz="4" w:space="0"/>
              <w:right w:val="single" w:color="00000A" w:sz="4" w:space="0"/>
            </w:tcBorders>
            <w:shd w:val="clear" w:color="auto" w:fill="FFFFFF"/>
            <w:noWrap w:val="0"/>
            <w:vAlign w:val="center"/>
          </w:tcPr>
          <w:p w14:paraId="639FCE3D">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105</w:t>
            </w:r>
          </w:p>
        </w:tc>
        <w:tc>
          <w:tcPr>
            <w:tcW w:w="795" w:type="dxa"/>
            <w:tcBorders>
              <w:left w:val="single" w:color="00000A" w:sz="4" w:space="0"/>
              <w:bottom w:val="single" w:color="00000A" w:sz="4" w:space="0"/>
              <w:right w:val="single" w:color="00000A" w:sz="4" w:space="0"/>
            </w:tcBorders>
            <w:shd w:val="clear" w:color="auto" w:fill="FFFFFF"/>
            <w:noWrap w:val="0"/>
            <w:vAlign w:val="center"/>
          </w:tcPr>
          <w:p w14:paraId="32BA5D45">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106</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374665B4">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107</w:t>
            </w:r>
          </w:p>
        </w:tc>
        <w:tc>
          <w:tcPr>
            <w:tcW w:w="651" w:type="dxa"/>
            <w:tcBorders>
              <w:left w:val="single" w:color="00000A" w:sz="4" w:space="0"/>
              <w:bottom w:val="single" w:color="00000A" w:sz="4" w:space="0"/>
              <w:right w:val="single" w:color="00000A" w:sz="4" w:space="0"/>
            </w:tcBorders>
            <w:shd w:val="clear" w:color="auto" w:fill="FFFFFF"/>
            <w:noWrap w:val="0"/>
            <w:vAlign w:val="center"/>
          </w:tcPr>
          <w:p w14:paraId="683F586F">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107</w:t>
            </w:r>
          </w:p>
        </w:tc>
      </w:tr>
      <w:tr w14:paraId="1FD5DD8A">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567" w:hRule="atLeast"/>
        </w:trPr>
        <w:tc>
          <w:tcPr>
            <w:tcW w:w="596"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71F8BE0F">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4</w:t>
            </w:r>
          </w:p>
        </w:tc>
        <w:tc>
          <w:tcPr>
            <w:tcW w:w="6375"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499D4E9E">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Посещаемость музея на 1000 человек посещений</w:t>
            </w:r>
          </w:p>
        </w:tc>
        <w:tc>
          <w:tcPr>
            <w:tcW w:w="1212" w:type="dxa"/>
            <w:tcBorders>
              <w:left w:val="single" w:color="00000A" w:sz="4" w:space="0"/>
              <w:bottom w:val="single" w:color="00000A" w:sz="4" w:space="0"/>
              <w:right w:val="single" w:color="00000A" w:sz="4" w:space="0"/>
            </w:tcBorders>
            <w:shd w:val="clear" w:color="auto" w:fill="FFFFFF"/>
            <w:noWrap w:val="0"/>
            <w:tcMar>
              <w:top w:w="0" w:type="dxa"/>
              <w:left w:w="10" w:type="dxa"/>
              <w:bottom w:w="0" w:type="dxa"/>
              <w:right w:w="10" w:type="dxa"/>
            </w:tcMar>
            <w:vAlign w:val="top"/>
          </w:tcPr>
          <w:p w14:paraId="01042387">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Кол-во посещений</w:t>
            </w:r>
          </w:p>
        </w:tc>
        <w:tc>
          <w:tcPr>
            <w:tcW w:w="852" w:type="dxa"/>
            <w:tcBorders>
              <w:left w:val="single" w:color="00000A" w:sz="4" w:space="0"/>
              <w:bottom w:val="single" w:color="00000A" w:sz="4" w:space="0"/>
              <w:right w:val="single" w:color="00000A" w:sz="4" w:space="0"/>
            </w:tcBorders>
            <w:shd w:val="clear" w:color="auto" w:fill="FFFFFF"/>
            <w:noWrap w:val="0"/>
            <w:vAlign w:val="center"/>
          </w:tcPr>
          <w:p w14:paraId="6CB439C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570</w:t>
            </w:r>
          </w:p>
        </w:tc>
        <w:tc>
          <w:tcPr>
            <w:tcW w:w="898" w:type="dxa"/>
            <w:tcBorders>
              <w:left w:val="single" w:color="00000A" w:sz="4" w:space="0"/>
              <w:bottom w:val="single" w:color="00000A" w:sz="4" w:space="0"/>
              <w:right w:val="single" w:color="00000A" w:sz="4" w:space="0"/>
            </w:tcBorders>
            <w:shd w:val="clear" w:color="auto" w:fill="FFFFFF"/>
            <w:noWrap w:val="0"/>
            <w:vAlign w:val="center"/>
          </w:tcPr>
          <w:p w14:paraId="520C6059">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575</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23911FF6">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575</w:t>
            </w:r>
          </w:p>
        </w:tc>
        <w:tc>
          <w:tcPr>
            <w:tcW w:w="780" w:type="dxa"/>
            <w:tcBorders>
              <w:left w:val="single" w:color="00000A" w:sz="4" w:space="0"/>
              <w:bottom w:val="single" w:color="00000A" w:sz="4" w:space="0"/>
              <w:right w:val="single" w:color="00000A" w:sz="4" w:space="0"/>
            </w:tcBorders>
            <w:shd w:val="clear" w:color="auto" w:fill="FFFFFF"/>
            <w:noWrap w:val="0"/>
            <w:vAlign w:val="center"/>
          </w:tcPr>
          <w:p w14:paraId="422AC92B">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585</w:t>
            </w:r>
          </w:p>
        </w:tc>
        <w:tc>
          <w:tcPr>
            <w:tcW w:w="870" w:type="dxa"/>
            <w:tcBorders>
              <w:left w:val="single" w:color="00000A" w:sz="4" w:space="0"/>
              <w:bottom w:val="single" w:color="00000A" w:sz="4" w:space="0"/>
              <w:right w:val="single" w:color="00000A" w:sz="4" w:space="0"/>
            </w:tcBorders>
            <w:shd w:val="clear" w:color="auto" w:fill="FFFFFF"/>
            <w:noWrap w:val="0"/>
            <w:vAlign w:val="center"/>
          </w:tcPr>
          <w:p w14:paraId="2C2FAD51">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lang w:val="en-US"/>
              </w:rPr>
              <w:t>5</w:t>
            </w:r>
            <w:r>
              <w:rPr>
                <w:rFonts w:hint="default" w:ascii="Times New Roman" w:hAnsi="Times New Roman" w:eastAsia="SimSun" w:cs="Times New Roman"/>
                <w:sz w:val="22"/>
                <w:szCs w:val="22"/>
              </w:rPr>
              <w:t>85</w:t>
            </w:r>
          </w:p>
        </w:tc>
        <w:tc>
          <w:tcPr>
            <w:tcW w:w="825" w:type="dxa"/>
            <w:tcBorders>
              <w:left w:val="single" w:color="00000A" w:sz="4" w:space="0"/>
              <w:bottom w:val="single" w:color="00000A" w:sz="4" w:space="0"/>
              <w:right w:val="single" w:color="00000A" w:sz="4" w:space="0"/>
            </w:tcBorders>
            <w:shd w:val="clear" w:color="auto" w:fill="FFFFFF"/>
            <w:noWrap w:val="0"/>
            <w:vAlign w:val="center"/>
          </w:tcPr>
          <w:p w14:paraId="1ADF6CCD">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590</w:t>
            </w:r>
          </w:p>
        </w:tc>
        <w:tc>
          <w:tcPr>
            <w:tcW w:w="795" w:type="dxa"/>
            <w:tcBorders>
              <w:left w:val="single" w:color="00000A" w:sz="4" w:space="0"/>
              <w:bottom w:val="single" w:color="00000A" w:sz="4" w:space="0"/>
              <w:right w:val="single" w:color="00000A" w:sz="4" w:space="0"/>
            </w:tcBorders>
            <w:shd w:val="clear" w:color="auto" w:fill="FFFFFF"/>
            <w:noWrap w:val="0"/>
            <w:vAlign w:val="center"/>
          </w:tcPr>
          <w:p w14:paraId="6A1FFF86">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595</w:t>
            </w:r>
          </w:p>
        </w:tc>
        <w:tc>
          <w:tcPr>
            <w:tcW w:w="735" w:type="dxa"/>
            <w:tcBorders>
              <w:left w:val="single" w:color="00000A" w:sz="4" w:space="0"/>
              <w:bottom w:val="single" w:color="00000A" w:sz="4" w:space="0"/>
              <w:right w:val="single" w:color="00000A" w:sz="4" w:space="0"/>
            </w:tcBorders>
            <w:shd w:val="clear" w:color="auto" w:fill="FFFFFF"/>
            <w:noWrap w:val="0"/>
            <w:vAlign w:val="center"/>
          </w:tcPr>
          <w:p w14:paraId="4C6EAB8E">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600</w:t>
            </w:r>
          </w:p>
        </w:tc>
        <w:tc>
          <w:tcPr>
            <w:tcW w:w="651" w:type="dxa"/>
            <w:tcBorders>
              <w:left w:val="single" w:color="00000A" w:sz="4" w:space="0"/>
              <w:bottom w:val="single" w:color="00000A" w:sz="4" w:space="0"/>
              <w:right w:val="single" w:color="00000A" w:sz="4" w:space="0"/>
            </w:tcBorders>
            <w:shd w:val="clear" w:color="auto" w:fill="FFFFFF"/>
            <w:noWrap w:val="0"/>
            <w:vAlign w:val="center"/>
          </w:tcPr>
          <w:p w14:paraId="2A89C6C3">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600</w:t>
            </w:r>
          </w:p>
        </w:tc>
      </w:tr>
      <w:tr w14:paraId="1400611B">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01" w:hRule="atLeast"/>
        </w:trPr>
        <w:tc>
          <w:tcPr>
            <w:tcW w:w="596"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6B303C66">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5</w:t>
            </w:r>
          </w:p>
        </w:tc>
        <w:tc>
          <w:tcPr>
            <w:tcW w:w="6375"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0554A80E">
            <w:pPr>
              <w:ind w:right="5" w:firstLine="14"/>
              <w:rPr>
                <w:rFonts w:hint="default" w:ascii="Times New Roman" w:hAnsi="Times New Roman" w:eastAsia="SimSun" w:cs="Times New Roman"/>
                <w:sz w:val="22"/>
                <w:szCs w:val="22"/>
              </w:rPr>
            </w:pPr>
            <w:r>
              <w:rPr>
                <w:rFonts w:hint="default" w:ascii="Times New Roman" w:hAnsi="Times New Roman" w:eastAsia="SimSun" w:cs="Times New Roman"/>
                <w:sz w:val="22"/>
                <w:szCs w:val="22"/>
              </w:rPr>
              <w:t>Количество учащихся детской школы  искусств</w:t>
            </w:r>
          </w:p>
        </w:tc>
        <w:tc>
          <w:tcPr>
            <w:tcW w:w="1212" w:type="dxa"/>
            <w:tcBorders>
              <w:left w:val="single" w:color="00000A" w:sz="4" w:space="0"/>
              <w:bottom w:val="single" w:color="auto" w:sz="4" w:space="0"/>
              <w:right w:val="single" w:color="00000A" w:sz="4" w:space="0"/>
            </w:tcBorders>
            <w:shd w:val="clear" w:color="auto" w:fill="FFFFFF"/>
            <w:noWrap w:val="0"/>
            <w:tcMar>
              <w:top w:w="0" w:type="dxa"/>
              <w:left w:w="10" w:type="dxa"/>
              <w:bottom w:w="0" w:type="dxa"/>
              <w:right w:w="10" w:type="dxa"/>
            </w:tcMar>
            <w:vAlign w:val="top"/>
          </w:tcPr>
          <w:p w14:paraId="6B48B1EA">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Человек</w:t>
            </w:r>
          </w:p>
        </w:tc>
        <w:tc>
          <w:tcPr>
            <w:tcW w:w="852" w:type="dxa"/>
            <w:tcBorders>
              <w:left w:val="single" w:color="00000A" w:sz="4" w:space="0"/>
              <w:bottom w:val="single" w:color="auto" w:sz="4" w:space="0"/>
              <w:right w:val="single" w:color="00000A" w:sz="4" w:space="0"/>
            </w:tcBorders>
            <w:shd w:val="clear" w:color="auto" w:fill="FFFFFF"/>
            <w:noWrap w:val="0"/>
            <w:vAlign w:val="center"/>
          </w:tcPr>
          <w:p w14:paraId="092DA1FC">
            <w:pPr>
              <w:ind w:firstLine="0" w:firstLineChars="0"/>
              <w:jc w:val="center"/>
              <w:rPr>
                <w:rFonts w:hint="default" w:ascii="Times New Roman" w:hAnsi="Times New Roman" w:eastAsia="SimSun" w:cs="Times New Roman"/>
                <w:kern w:val="1"/>
                <w:sz w:val="22"/>
                <w:szCs w:val="22"/>
                <w:lang w:val="en-US" w:eastAsia="zh-CN" w:bidi="hi-IN"/>
              </w:rPr>
            </w:pPr>
            <w:r>
              <w:rPr>
                <w:rFonts w:hint="default" w:ascii="Times New Roman" w:hAnsi="Times New Roman" w:eastAsia="SimSun" w:cs="Times New Roman"/>
                <w:sz w:val="22"/>
                <w:szCs w:val="22"/>
              </w:rPr>
              <w:t>7</w:t>
            </w:r>
            <w:r>
              <w:rPr>
                <w:rFonts w:hint="default" w:ascii="Times New Roman" w:hAnsi="Times New Roman" w:eastAsia="SimSun" w:cs="Times New Roman"/>
                <w:sz w:val="22"/>
                <w:szCs w:val="22"/>
                <w:lang w:val="en-US"/>
              </w:rPr>
              <w:t>8</w:t>
            </w:r>
          </w:p>
        </w:tc>
        <w:tc>
          <w:tcPr>
            <w:tcW w:w="898" w:type="dxa"/>
            <w:tcBorders>
              <w:left w:val="single" w:color="00000A" w:sz="4" w:space="0"/>
              <w:bottom w:val="single" w:color="auto" w:sz="4" w:space="0"/>
              <w:right w:val="single" w:color="00000A" w:sz="4" w:space="0"/>
            </w:tcBorders>
            <w:shd w:val="clear" w:color="auto" w:fill="FFFFFF"/>
            <w:noWrap w:val="0"/>
            <w:vAlign w:val="center"/>
          </w:tcPr>
          <w:p w14:paraId="729CBD09">
            <w:pPr>
              <w:ind w:left="3" w:leftChars="-3" w:hanging="11" w:hangingChars="5"/>
              <w:jc w:val="center"/>
              <w:rPr>
                <w:rFonts w:hint="default" w:ascii="Times New Roman" w:hAnsi="Times New Roman" w:eastAsia="SimSun" w:cs="Times New Roman"/>
                <w:kern w:val="1"/>
                <w:sz w:val="22"/>
                <w:szCs w:val="22"/>
                <w:lang w:val="en-US" w:eastAsia="zh-CN" w:bidi="hi-IN"/>
              </w:rPr>
            </w:pPr>
            <w:r>
              <w:rPr>
                <w:rFonts w:hint="default" w:ascii="Times New Roman" w:hAnsi="Times New Roman" w:eastAsia="SimSun" w:cs="Times New Roman"/>
                <w:sz w:val="22"/>
                <w:szCs w:val="22"/>
              </w:rPr>
              <w:t>79</w:t>
            </w:r>
          </w:p>
        </w:tc>
        <w:tc>
          <w:tcPr>
            <w:tcW w:w="735" w:type="dxa"/>
            <w:tcBorders>
              <w:left w:val="single" w:color="00000A" w:sz="4" w:space="0"/>
              <w:bottom w:val="single" w:color="auto" w:sz="4" w:space="0"/>
              <w:right w:val="single" w:color="00000A" w:sz="4" w:space="0"/>
            </w:tcBorders>
            <w:shd w:val="clear" w:color="auto" w:fill="FFFFFF"/>
            <w:noWrap w:val="0"/>
            <w:vAlign w:val="center"/>
          </w:tcPr>
          <w:p w14:paraId="123AC20D">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80</w:t>
            </w:r>
          </w:p>
        </w:tc>
        <w:tc>
          <w:tcPr>
            <w:tcW w:w="780" w:type="dxa"/>
            <w:tcBorders>
              <w:left w:val="single" w:color="00000A" w:sz="4" w:space="0"/>
              <w:bottom w:val="single" w:color="auto" w:sz="4" w:space="0"/>
              <w:right w:val="single" w:color="00000A" w:sz="4" w:space="0"/>
            </w:tcBorders>
            <w:shd w:val="clear" w:color="auto" w:fill="FFFFFF"/>
            <w:noWrap w:val="0"/>
            <w:vAlign w:val="center"/>
          </w:tcPr>
          <w:p w14:paraId="2BD80F2F">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50</w:t>
            </w:r>
          </w:p>
        </w:tc>
        <w:tc>
          <w:tcPr>
            <w:tcW w:w="870" w:type="dxa"/>
            <w:tcBorders>
              <w:left w:val="single" w:color="00000A" w:sz="4" w:space="0"/>
              <w:bottom w:val="single" w:color="auto" w:sz="4" w:space="0"/>
              <w:right w:val="single" w:color="00000A" w:sz="4" w:space="0"/>
            </w:tcBorders>
            <w:shd w:val="clear" w:color="auto" w:fill="FFFFFF"/>
            <w:noWrap w:val="0"/>
            <w:vAlign w:val="center"/>
          </w:tcPr>
          <w:p w14:paraId="44B01FE3">
            <w:pPr>
              <w:ind w:firstLine="0" w:firstLineChars="0"/>
              <w:jc w:val="center"/>
              <w:rPr>
                <w:rFonts w:hint="default" w:ascii="Times New Roman" w:hAnsi="Times New Roman" w:cs="Times New Roman"/>
                <w:sz w:val="22"/>
                <w:szCs w:val="22"/>
                <w:lang w:val="ru-RU"/>
              </w:rPr>
            </w:pPr>
          </w:p>
          <w:p w14:paraId="4642CDD5">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50</w:t>
            </w:r>
          </w:p>
        </w:tc>
        <w:tc>
          <w:tcPr>
            <w:tcW w:w="825" w:type="dxa"/>
            <w:tcBorders>
              <w:left w:val="single" w:color="00000A" w:sz="4" w:space="0"/>
              <w:bottom w:val="single" w:color="auto" w:sz="4" w:space="0"/>
              <w:right w:val="single" w:color="00000A" w:sz="4" w:space="0"/>
            </w:tcBorders>
            <w:shd w:val="clear" w:color="auto" w:fill="FFFFFF"/>
            <w:noWrap w:val="0"/>
            <w:vAlign w:val="center"/>
          </w:tcPr>
          <w:p w14:paraId="2F4B0115">
            <w:pPr>
              <w:ind w:firstLine="0" w:firstLineChars="0"/>
              <w:jc w:val="center"/>
              <w:rPr>
                <w:rFonts w:hint="default" w:ascii="Times New Roman" w:hAnsi="Times New Roman" w:cs="Times New Roman"/>
                <w:sz w:val="22"/>
                <w:szCs w:val="22"/>
                <w:lang w:val="ru-RU"/>
              </w:rPr>
            </w:pPr>
          </w:p>
          <w:p w14:paraId="5E26AFD5">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30</w:t>
            </w:r>
          </w:p>
        </w:tc>
        <w:tc>
          <w:tcPr>
            <w:tcW w:w="795" w:type="dxa"/>
            <w:tcBorders>
              <w:left w:val="single" w:color="00000A" w:sz="4" w:space="0"/>
              <w:bottom w:val="single" w:color="auto" w:sz="4" w:space="0"/>
              <w:right w:val="single" w:color="00000A" w:sz="4" w:space="0"/>
            </w:tcBorders>
            <w:shd w:val="clear" w:color="auto" w:fill="FFFFFF"/>
            <w:noWrap w:val="0"/>
            <w:vAlign w:val="center"/>
          </w:tcPr>
          <w:p w14:paraId="47DC4195">
            <w:pPr>
              <w:ind w:firstLine="0" w:firstLineChars="0"/>
              <w:jc w:val="center"/>
              <w:rPr>
                <w:rFonts w:hint="default" w:ascii="Times New Roman" w:hAnsi="Times New Roman" w:cs="Times New Roman"/>
                <w:sz w:val="22"/>
                <w:szCs w:val="22"/>
                <w:lang w:val="ru-RU"/>
              </w:rPr>
            </w:pPr>
          </w:p>
          <w:p w14:paraId="12E0E2AF">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30</w:t>
            </w:r>
          </w:p>
        </w:tc>
        <w:tc>
          <w:tcPr>
            <w:tcW w:w="735" w:type="dxa"/>
            <w:tcBorders>
              <w:left w:val="single" w:color="00000A" w:sz="4" w:space="0"/>
              <w:bottom w:val="single" w:color="auto" w:sz="4" w:space="0"/>
              <w:right w:val="single" w:color="00000A" w:sz="4" w:space="0"/>
            </w:tcBorders>
            <w:shd w:val="clear" w:color="auto" w:fill="FFFFFF"/>
            <w:noWrap w:val="0"/>
            <w:vAlign w:val="center"/>
          </w:tcPr>
          <w:p w14:paraId="4F1FF3A1">
            <w:pPr>
              <w:ind w:firstLine="0" w:firstLineChars="0"/>
              <w:jc w:val="center"/>
              <w:rPr>
                <w:rFonts w:hint="default" w:ascii="Times New Roman" w:hAnsi="Times New Roman" w:cs="Times New Roman"/>
                <w:sz w:val="22"/>
                <w:szCs w:val="22"/>
                <w:lang w:val="ru-RU"/>
              </w:rPr>
            </w:pPr>
          </w:p>
          <w:p w14:paraId="7C48671A">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lang w:val="ru-RU"/>
              </w:rPr>
              <w:t>30</w:t>
            </w:r>
          </w:p>
        </w:tc>
        <w:tc>
          <w:tcPr>
            <w:tcW w:w="651" w:type="dxa"/>
            <w:tcBorders>
              <w:left w:val="single" w:color="00000A" w:sz="4" w:space="0"/>
              <w:bottom w:val="single" w:color="auto" w:sz="4" w:space="0"/>
              <w:right w:val="single" w:color="00000A" w:sz="4" w:space="0"/>
            </w:tcBorders>
            <w:shd w:val="clear" w:color="auto" w:fill="FFFFFF"/>
            <w:noWrap w:val="0"/>
            <w:vAlign w:val="center"/>
          </w:tcPr>
          <w:p w14:paraId="67A0AE67">
            <w:pPr>
              <w:ind w:firstLine="0"/>
              <w:jc w:val="center"/>
              <w:rPr>
                <w:rFonts w:hint="default" w:ascii="Times New Roman" w:hAnsi="Times New Roman" w:cs="Times New Roman"/>
                <w:sz w:val="22"/>
                <w:szCs w:val="22"/>
                <w:lang w:val="ru-RU"/>
              </w:rPr>
            </w:pPr>
          </w:p>
          <w:p w14:paraId="20D09827">
            <w:pPr>
              <w:ind w:firstLine="0"/>
              <w:jc w:val="center"/>
              <w:rPr>
                <w:rFonts w:hint="default" w:ascii="Times New Roman" w:hAnsi="Times New Roman" w:cs="Times New Roman"/>
                <w:sz w:val="22"/>
                <w:szCs w:val="22"/>
                <w:lang w:val="ru-RU"/>
              </w:rPr>
            </w:pPr>
            <w:r>
              <w:rPr>
                <w:rFonts w:hint="default" w:ascii="Times New Roman" w:hAnsi="Times New Roman" w:cs="Times New Roman"/>
                <w:sz w:val="22"/>
                <w:szCs w:val="22"/>
                <w:lang w:val="ru-RU"/>
              </w:rPr>
              <w:t>30</w:t>
            </w:r>
          </w:p>
        </w:tc>
      </w:tr>
      <w:tr w14:paraId="5A5673EB">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16" w:hRule="atLeast"/>
        </w:trPr>
        <w:tc>
          <w:tcPr>
            <w:tcW w:w="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200AE65D">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6</w:t>
            </w:r>
          </w:p>
        </w:tc>
        <w:tc>
          <w:tcPr>
            <w:tcW w:w="63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2ECC58A2">
            <w:pPr>
              <w:ind w:right="5" w:firstLine="14"/>
              <w:rPr>
                <w:rFonts w:hint="default" w:ascii="Times New Roman" w:hAnsi="Times New Roman" w:eastAsia="SimSun" w:cs="Times New Roman"/>
                <w:sz w:val="22"/>
                <w:szCs w:val="22"/>
              </w:rPr>
            </w:pPr>
            <w:r>
              <w:rPr>
                <w:rFonts w:hint="default" w:ascii="Times New Roman" w:hAnsi="Times New Roman" w:cs="Times New Roman"/>
                <w:sz w:val="22"/>
                <w:szCs w:val="22"/>
              </w:rPr>
              <w:t xml:space="preserve">Рост численности туристов </w:t>
            </w:r>
            <w:r>
              <w:rPr>
                <w:rFonts w:hint="default" w:ascii="Times New Roman" w:hAnsi="Times New Roman" w:eastAsia="SimSun" w:cs="Times New Roman"/>
                <w:sz w:val="22"/>
                <w:szCs w:val="22"/>
              </w:rPr>
              <w:t xml:space="preserve"> к предыдущему году</w:t>
            </w:r>
          </w:p>
        </w:tc>
        <w:tc>
          <w:tcPr>
            <w:tcW w:w="12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center"/>
          </w:tcPr>
          <w:p w14:paraId="7175A85A">
            <w:pPr>
              <w:ind w:firstLine="0"/>
              <w:jc w:val="center"/>
              <w:rPr>
                <w:rFonts w:hint="default" w:ascii="Times New Roman" w:hAnsi="Times New Roman" w:eastAsia="SimSun" w:cs="Times New Roman"/>
                <w:sz w:val="22"/>
                <w:szCs w:val="22"/>
              </w:rPr>
            </w:pPr>
            <w:r>
              <w:rPr>
                <w:rFonts w:hint="default" w:ascii="Times New Roman" w:hAnsi="Times New Roman" w:eastAsia="SimSun" w:cs="Times New Roman"/>
                <w:sz w:val="22"/>
                <w:szCs w:val="22"/>
              </w:rPr>
              <w:t>%</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56A040">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w:t>
            </w:r>
          </w:p>
        </w:tc>
        <w:tc>
          <w:tcPr>
            <w:tcW w:w="8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2C9BE8">
            <w:pPr>
              <w:ind w:left="3" w:leftChars="-3" w:hanging="11" w:hangingChars="5"/>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1</w:t>
            </w:r>
          </w:p>
        </w:tc>
        <w:tc>
          <w:tcPr>
            <w:tcW w:w="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CCB9E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62C227">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ACFFFC">
            <w:pPr>
              <w:jc w:val="center"/>
              <w:rPr>
                <w:rFonts w:hint="default" w:ascii="Times New Roman" w:hAnsi="Times New Roman" w:eastAsia="SimSun" w:cs="Times New Roman"/>
                <w:sz w:val="22"/>
                <w:szCs w:val="22"/>
              </w:rPr>
            </w:pPr>
          </w:p>
          <w:p w14:paraId="790570DE">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eastAsia="SimSun" w:cs="Times New Roman"/>
                <w:sz w:val="22"/>
                <w:szCs w:val="22"/>
              </w:rPr>
              <w:t>3</w:t>
            </w: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12030">
            <w:pPr>
              <w:ind w:firstLine="0"/>
              <w:jc w:val="center"/>
              <w:rPr>
                <w:rFonts w:hint="default" w:ascii="Times New Roman" w:hAnsi="Times New Roman" w:cs="Times New Roman"/>
                <w:sz w:val="22"/>
                <w:szCs w:val="22"/>
                <w:lang w:val="ru-RU"/>
              </w:rPr>
            </w:pPr>
          </w:p>
          <w:p w14:paraId="4B06053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3</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31434C">
            <w:pPr>
              <w:ind w:firstLine="0"/>
              <w:jc w:val="center"/>
              <w:rPr>
                <w:rFonts w:hint="default" w:ascii="Times New Roman" w:hAnsi="Times New Roman" w:cs="Times New Roman"/>
                <w:sz w:val="22"/>
                <w:szCs w:val="22"/>
                <w:highlight w:val="none"/>
                <w:lang w:val="ru-RU"/>
              </w:rPr>
            </w:pPr>
          </w:p>
          <w:p w14:paraId="444F6F7C">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3</w:t>
            </w:r>
          </w:p>
        </w:tc>
        <w:tc>
          <w:tcPr>
            <w:tcW w:w="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E096C">
            <w:pPr>
              <w:ind w:firstLine="0" w:firstLineChars="0"/>
              <w:jc w:val="center"/>
              <w:rPr>
                <w:rFonts w:hint="default" w:ascii="Times New Roman" w:hAnsi="Times New Roman" w:cs="Times New Roman"/>
                <w:sz w:val="22"/>
                <w:szCs w:val="22"/>
                <w:highlight w:val="none"/>
                <w:lang w:val="ru-RU"/>
              </w:rPr>
            </w:pPr>
          </w:p>
          <w:p w14:paraId="7952C56D">
            <w:pPr>
              <w:ind w:firstLine="0" w:firstLineChars="0"/>
              <w:jc w:val="center"/>
              <w:rPr>
                <w:rFonts w:hint="default" w:ascii="Times New Roman" w:hAnsi="Times New Roman" w:eastAsia="SimSun" w:cs="Times New Roman"/>
                <w:sz w:val="22"/>
                <w:szCs w:val="22"/>
                <w:highlight w:val="none"/>
                <w:lang w:val="ru-RU"/>
              </w:rPr>
            </w:pPr>
            <w:r>
              <w:rPr>
                <w:rFonts w:hint="default" w:ascii="Times New Roman" w:hAnsi="Times New Roman" w:cs="Times New Roman"/>
                <w:sz w:val="22"/>
                <w:szCs w:val="22"/>
                <w:highlight w:val="none"/>
                <w:lang w:val="ru-RU"/>
              </w:rPr>
              <w:t>4</w:t>
            </w:r>
          </w:p>
        </w:tc>
        <w:tc>
          <w:tcPr>
            <w:tcW w:w="6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057BF">
            <w:pPr>
              <w:ind w:firstLine="0"/>
              <w:jc w:val="center"/>
              <w:rPr>
                <w:rFonts w:hint="default" w:ascii="Times New Roman" w:hAnsi="Times New Roman" w:cs="Times New Roman"/>
                <w:sz w:val="22"/>
                <w:szCs w:val="22"/>
                <w:highlight w:val="none"/>
                <w:lang w:val="ru-RU"/>
              </w:rPr>
            </w:pPr>
          </w:p>
          <w:p w14:paraId="5EB7C21F">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4</w:t>
            </w:r>
          </w:p>
        </w:tc>
      </w:tr>
      <w:tr w14:paraId="7FE23735">
        <w:tblPrEx>
          <w:tblBorders>
            <w:top w:val="single" w:color="00000A" w:sz="4" w:space="0"/>
            <w:left w:val="single" w:color="00000A" w:sz="4" w:space="0"/>
            <w:bottom w:val="single" w:color="00000A" w:sz="4" w:space="0"/>
            <w:right w:val="single" w:color="00000A" w:sz="4" w:space="0"/>
            <w:insideH w:val="none" w:color="auto" w:sz="0" w:space="0"/>
            <w:insideV w:val="none" w:color="auto" w:sz="0" w:space="0"/>
          </w:tblBorders>
          <w:tblCellMar>
            <w:top w:w="0" w:type="dxa"/>
            <w:left w:w="10" w:type="dxa"/>
            <w:bottom w:w="0" w:type="dxa"/>
            <w:right w:w="10" w:type="dxa"/>
          </w:tblCellMar>
        </w:tblPrEx>
        <w:trPr>
          <w:trHeight w:val="616" w:hRule="atLeast"/>
        </w:trPr>
        <w:tc>
          <w:tcPr>
            <w:tcW w:w="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F642D83">
            <w:pPr>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7</w:t>
            </w:r>
          </w:p>
        </w:tc>
        <w:tc>
          <w:tcPr>
            <w:tcW w:w="63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top"/>
          </w:tcPr>
          <w:p w14:paraId="7912E84A">
            <w:pPr>
              <w:keepNext w:val="0"/>
              <w:keepLines w:val="0"/>
              <w:widowControl/>
              <w:suppressLineNumbers w:val="0"/>
              <w:spacing w:line="240" w:lineRule="auto"/>
              <w:ind w:left="0" w:leftChars="0" w:firstLine="0" w:firstLineChars="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Количество посещений организаций культуры по отношению к уровню 2017 года (в части</w:t>
            </w:r>
            <w:r>
              <w:rPr>
                <w:rFonts w:hint="default" w:ascii="Times New Roman" w:hAnsi="Times New Roman" w:eastAsia="SimSun" w:cs="Times New Roman"/>
                <w:color w:val="000000"/>
                <w:kern w:val="0"/>
                <w:sz w:val="22"/>
                <w:szCs w:val="22"/>
                <w:lang w:val="ru-RU" w:eastAsia="zh-CN" w:bidi="ar"/>
              </w:rPr>
              <w:t xml:space="preserve"> </w:t>
            </w:r>
            <w:r>
              <w:rPr>
                <w:rFonts w:hint="default" w:ascii="Times New Roman" w:hAnsi="Times New Roman" w:eastAsia="SimSun" w:cs="Times New Roman"/>
                <w:color w:val="000000"/>
                <w:kern w:val="0"/>
                <w:sz w:val="22"/>
                <w:szCs w:val="22"/>
                <w:lang w:val="en-US" w:eastAsia="zh-CN" w:bidi="ar"/>
              </w:rPr>
              <w:t>посещений библиотек).</w:t>
            </w:r>
          </w:p>
        </w:tc>
        <w:tc>
          <w:tcPr>
            <w:tcW w:w="121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 w:type="dxa"/>
              <w:bottom w:w="0" w:type="dxa"/>
              <w:right w:w="10" w:type="dxa"/>
            </w:tcMar>
            <w:vAlign w:val="center"/>
          </w:tcPr>
          <w:p w14:paraId="6FBD10E4">
            <w:pPr>
              <w:ind w:firstLine="0"/>
              <w:jc w:val="center"/>
              <w:rPr>
                <w:rFonts w:hint="default" w:ascii="Times New Roman" w:hAnsi="Times New Roman" w:eastAsia="SimSun" w:cs="Times New Roman"/>
                <w:sz w:val="22"/>
                <w:szCs w:val="22"/>
                <w:lang w:val="ru-RU"/>
              </w:rPr>
            </w:pPr>
            <w:r>
              <w:rPr>
                <w:rFonts w:hint="default" w:ascii="Times New Roman" w:hAnsi="Times New Roman" w:cs="Times New Roman"/>
                <w:sz w:val="22"/>
                <w:szCs w:val="22"/>
                <w:lang w:val="ru-RU"/>
              </w:rPr>
              <w:t>%</w:t>
            </w:r>
          </w:p>
        </w:tc>
        <w:tc>
          <w:tcPr>
            <w:tcW w:w="8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AD387">
            <w:pPr>
              <w:ind w:firstLine="0" w:firstLineChars="0"/>
              <w:jc w:val="center"/>
              <w:rPr>
                <w:rFonts w:hint="default" w:ascii="Times New Roman" w:hAnsi="Times New Roman" w:eastAsia="SimSun" w:cs="Times New Roman"/>
                <w:kern w:val="1"/>
                <w:sz w:val="22"/>
                <w:szCs w:val="22"/>
                <w:lang w:val="ru-RU" w:eastAsia="zh-CN" w:bidi="hi-IN"/>
              </w:rPr>
            </w:pPr>
          </w:p>
        </w:tc>
        <w:tc>
          <w:tcPr>
            <w:tcW w:w="89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BC40C3">
            <w:pPr>
              <w:ind w:left="3" w:leftChars="-3" w:hanging="11" w:hangingChars="5"/>
              <w:jc w:val="center"/>
              <w:rPr>
                <w:rFonts w:hint="default" w:ascii="Times New Roman" w:hAnsi="Times New Roman" w:eastAsia="SimSun" w:cs="Times New Roman"/>
                <w:kern w:val="1"/>
                <w:sz w:val="22"/>
                <w:szCs w:val="22"/>
                <w:lang w:val="ru-RU" w:eastAsia="zh-CN" w:bidi="hi-IN"/>
              </w:rPr>
            </w:pPr>
          </w:p>
        </w:tc>
        <w:tc>
          <w:tcPr>
            <w:tcW w:w="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910DFC">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106</w:t>
            </w:r>
          </w:p>
        </w:tc>
        <w:tc>
          <w:tcPr>
            <w:tcW w:w="7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D15ECE">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109</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72AFB">
            <w:pPr>
              <w:ind w:firstLine="0"/>
              <w:jc w:val="center"/>
              <w:rPr>
                <w:rFonts w:hint="default" w:ascii="Times New Roman" w:hAnsi="Times New Roman" w:cs="Times New Roman"/>
                <w:sz w:val="22"/>
                <w:szCs w:val="22"/>
                <w:lang w:val="ru-RU"/>
              </w:rPr>
            </w:pPr>
          </w:p>
          <w:p w14:paraId="4F041E2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w:t>
            </w:r>
          </w:p>
        </w:tc>
        <w:tc>
          <w:tcPr>
            <w:tcW w:w="8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FF003A">
            <w:pPr>
              <w:ind w:firstLine="0"/>
              <w:jc w:val="center"/>
              <w:rPr>
                <w:rFonts w:hint="default" w:ascii="Times New Roman" w:hAnsi="Times New Roman" w:cs="Times New Roman"/>
                <w:sz w:val="22"/>
                <w:szCs w:val="22"/>
                <w:lang w:val="ru-RU"/>
              </w:rPr>
            </w:pPr>
          </w:p>
          <w:p w14:paraId="194C7F49">
            <w:pPr>
              <w:ind w:firstLine="0" w:firstLineChars="0"/>
              <w:jc w:val="center"/>
              <w:rPr>
                <w:rFonts w:hint="default" w:ascii="Times New Roman" w:hAnsi="Times New Roman" w:eastAsia="SimSun" w:cs="Times New Roman"/>
                <w:kern w:val="1"/>
                <w:sz w:val="22"/>
                <w:szCs w:val="22"/>
                <w:lang w:val="ru-RU" w:eastAsia="zh-CN" w:bidi="hi-IN"/>
              </w:rPr>
            </w:pPr>
            <w:r>
              <w:rPr>
                <w:rFonts w:hint="default" w:ascii="Times New Roman" w:hAnsi="Times New Roman" w:cs="Times New Roman"/>
                <w:sz w:val="22"/>
                <w:szCs w:val="22"/>
                <w:lang w:val="ru-RU"/>
              </w:rPr>
              <w:t>115,5</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708D68">
            <w:pPr>
              <w:ind w:firstLine="0"/>
              <w:jc w:val="center"/>
              <w:rPr>
                <w:rFonts w:hint="default" w:ascii="Times New Roman" w:hAnsi="Times New Roman" w:cs="Times New Roman"/>
                <w:sz w:val="22"/>
                <w:szCs w:val="22"/>
                <w:highlight w:val="none"/>
                <w:lang w:val="ru-RU"/>
              </w:rPr>
            </w:pPr>
          </w:p>
          <w:p w14:paraId="005F04A5">
            <w:pPr>
              <w:ind w:firstLine="0" w:firstLineChars="0"/>
              <w:jc w:val="center"/>
              <w:rPr>
                <w:rFonts w:hint="default" w:ascii="Times New Roman" w:hAnsi="Times New Roman" w:cs="Times New Roman"/>
                <w:sz w:val="22"/>
                <w:szCs w:val="22"/>
                <w:lang w:val="ru-RU"/>
              </w:rPr>
            </w:pPr>
            <w:r>
              <w:rPr>
                <w:rFonts w:hint="default" w:ascii="Times New Roman" w:hAnsi="Times New Roman" w:cs="Times New Roman"/>
                <w:sz w:val="22"/>
                <w:szCs w:val="22"/>
                <w:highlight w:val="none"/>
                <w:lang w:val="ru-RU"/>
              </w:rPr>
              <w:t>116</w:t>
            </w:r>
          </w:p>
        </w:tc>
        <w:tc>
          <w:tcPr>
            <w:tcW w:w="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D4589">
            <w:pPr>
              <w:ind w:firstLine="0"/>
              <w:jc w:val="center"/>
              <w:rPr>
                <w:rFonts w:hint="default" w:ascii="Times New Roman" w:hAnsi="Times New Roman" w:cs="Times New Roman"/>
                <w:sz w:val="22"/>
                <w:szCs w:val="22"/>
                <w:highlight w:val="none"/>
                <w:lang w:val="ru-RU"/>
              </w:rPr>
            </w:pPr>
          </w:p>
          <w:p w14:paraId="5FB5AE09">
            <w:pPr>
              <w:ind w:firstLine="0" w:firstLineChars="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116</w:t>
            </w:r>
          </w:p>
        </w:tc>
        <w:tc>
          <w:tcPr>
            <w:tcW w:w="6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47A90D">
            <w:pPr>
              <w:ind w:firstLine="0"/>
              <w:jc w:val="center"/>
              <w:rPr>
                <w:rFonts w:hint="default" w:ascii="Times New Roman" w:hAnsi="Times New Roman" w:cs="Times New Roman"/>
                <w:sz w:val="22"/>
                <w:szCs w:val="22"/>
                <w:highlight w:val="none"/>
                <w:lang w:val="ru-RU"/>
              </w:rPr>
            </w:pPr>
          </w:p>
          <w:p w14:paraId="1792F52E">
            <w:pPr>
              <w:ind w:firstLine="0"/>
              <w:jc w:val="center"/>
              <w:rPr>
                <w:rFonts w:hint="default" w:ascii="Times New Roman" w:hAnsi="Times New Roman" w:cs="Times New Roman"/>
                <w:sz w:val="22"/>
                <w:szCs w:val="22"/>
                <w:highlight w:val="none"/>
                <w:lang w:val="ru-RU"/>
              </w:rPr>
            </w:pPr>
            <w:r>
              <w:rPr>
                <w:rFonts w:hint="default" w:ascii="Times New Roman" w:hAnsi="Times New Roman" w:cs="Times New Roman"/>
                <w:sz w:val="22"/>
                <w:szCs w:val="22"/>
                <w:highlight w:val="none"/>
                <w:lang w:val="ru-RU"/>
              </w:rPr>
              <w:t>116</w:t>
            </w:r>
          </w:p>
        </w:tc>
      </w:tr>
    </w:tbl>
    <w:p w14:paraId="2A0BF8A4">
      <w:pPr>
        <w:jc w:val="center"/>
        <w:rPr>
          <w:rFonts w:hint="default" w:ascii="Times New Roman" w:hAnsi="Times New Roman" w:eastAsia="SimSun" w:cs="Times New Roman"/>
          <w:szCs w:val="28"/>
        </w:rPr>
      </w:pPr>
    </w:p>
    <w:p w14:paraId="616141CC">
      <w:pPr>
        <w:jc w:val="center"/>
        <w:rPr>
          <w:rFonts w:hint="default" w:ascii="Times New Roman" w:hAnsi="Times New Roman" w:eastAsia="SimSun" w:cs="Times New Roman"/>
          <w:szCs w:val="28"/>
        </w:rPr>
      </w:pPr>
    </w:p>
    <w:p w14:paraId="0B44B1FD">
      <w:pPr>
        <w:jc w:val="center"/>
        <w:rPr>
          <w:rFonts w:hint="default" w:ascii="Times New Roman" w:hAnsi="Times New Roman" w:eastAsia="SimSun" w:cs="Times New Roman"/>
          <w:szCs w:val="28"/>
        </w:rPr>
      </w:pPr>
    </w:p>
    <w:p w14:paraId="68320640">
      <w:pPr>
        <w:jc w:val="center"/>
        <w:rPr>
          <w:rFonts w:hint="default" w:ascii="Times New Roman" w:hAnsi="Times New Roman" w:eastAsia="SimSun" w:cs="Times New Roman"/>
          <w:szCs w:val="28"/>
        </w:rPr>
      </w:pPr>
    </w:p>
    <w:p w14:paraId="1E8DC002">
      <w:pPr>
        <w:jc w:val="center"/>
        <w:rPr>
          <w:rFonts w:hint="default" w:ascii="Times New Roman" w:hAnsi="Times New Roman" w:eastAsia="SimSun" w:cs="Times New Roman"/>
          <w:szCs w:val="28"/>
        </w:rPr>
      </w:pPr>
    </w:p>
    <w:tbl>
      <w:tblPr>
        <w:tblStyle w:val="3"/>
        <w:tblW w:w="0" w:type="auto"/>
        <w:tblInd w:w="9180" w:type="dxa"/>
        <w:tblLayout w:type="autofit"/>
        <w:tblCellMar>
          <w:top w:w="0" w:type="dxa"/>
          <w:left w:w="108" w:type="dxa"/>
          <w:bottom w:w="0" w:type="dxa"/>
          <w:right w:w="108" w:type="dxa"/>
        </w:tblCellMar>
      </w:tblPr>
      <w:tblGrid>
        <w:gridCol w:w="5323"/>
      </w:tblGrid>
      <w:tr w14:paraId="002D077F">
        <w:tblPrEx>
          <w:tblCellMar>
            <w:top w:w="0" w:type="dxa"/>
            <w:left w:w="108" w:type="dxa"/>
            <w:bottom w:w="0" w:type="dxa"/>
            <w:right w:w="108" w:type="dxa"/>
          </w:tblCellMar>
        </w:tblPrEx>
        <w:tc>
          <w:tcPr>
            <w:tcW w:w="5323" w:type="dxa"/>
            <w:noWrap w:val="0"/>
            <w:vAlign w:val="top"/>
          </w:tcPr>
          <w:p w14:paraId="4A8C6F54">
            <w:pPr>
              <w:spacing w:line="100" w:lineRule="atLeast"/>
              <w:rPr>
                <w:szCs w:val="28"/>
              </w:rPr>
            </w:pPr>
            <w:r>
              <w:rPr>
                <w:szCs w:val="28"/>
              </w:rPr>
              <w:t>Приложение  № 2</w:t>
            </w:r>
          </w:p>
          <w:p w14:paraId="536DCB2C">
            <w:pPr>
              <w:spacing w:line="100" w:lineRule="atLeast"/>
              <w:rPr>
                <w:szCs w:val="28"/>
              </w:rPr>
            </w:pPr>
          </w:p>
          <w:p w14:paraId="3C65469D">
            <w:pPr>
              <w:spacing w:line="100" w:lineRule="atLeast"/>
              <w:rPr>
                <w:szCs w:val="28"/>
              </w:rPr>
            </w:pPr>
            <w:r>
              <w:rPr>
                <w:szCs w:val="28"/>
              </w:rPr>
              <w:t>Приложение  № 2</w:t>
            </w:r>
          </w:p>
          <w:p w14:paraId="78F59898">
            <w:pPr>
              <w:spacing w:line="100" w:lineRule="atLeast"/>
              <w:rPr>
                <w:szCs w:val="28"/>
              </w:rPr>
            </w:pPr>
            <w:r>
              <w:rPr>
                <w:szCs w:val="28"/>
              </w:rPr>
              <w:t>к муниципальной программе</w:t>
            </w:r>
          </w:p>
        </w:tc>
      </w:tr>
    </w:tbl>
    <w:p w14:paraId="5CF41B40">
      <w:pPr>
        <w:spacing w:line="100" w:lineRule="atLeast"/>
        <w:rPr>
          <w:szCs w:val="28"/>
        </w:rPr>
      </w:pPr>
      <w:r>
        <w:rPr>
          <w:szCs w:val="28"/>
        </w:rPr>
        <w:t xml:space="preserve">                                                                                                      </w:t>
      </w:r>
    </w:p>
    <w:p w14:paraId="28336970">
      <w:pPr>
        <w:spacing w:line="100" w:lineRule="atLeast"/>
        <w:jc w:val="center"/>
        <w:rPr>
          <w:b/>
          <w:szCs w:val="28"/>
        </w:rPr>
      </w:pPr>
      <w:r>
        <w:rPr>
          <w:b/>
          <w:szCs w:val="28"/>
        </w:rPr>
        <w:t>Расходы на реализацию муниципальной программы</w:t>
      </w:r>
    </w:p>
    <w:p w14:paraId="47350742">
      <w:pPr>
        <w:spacing w:line="100" w:lineRule="atLeast"/>
        <w:jc w:val="center"/>
        <w:rPr>
          <w:b/>
          <w:szCs w:val="28"/>
        </w:rPr>
      </w:pPr>
      <w:r>
        <w:rPr>
          <w:b/>
          <w:szCs w:val="28"/>
        </w:rPr>
        <w:t>за счёт средств бюджета муниципального округа</w:t>
      </w:r>
    </w:p>
    <w:p w14:paraId="16C455ED">
      <w:pPr>
        <w:spacing w:line="100" w:lineRule="atLeast"/>
        <w:jc w:val="center"/>
        <w:rPr>
          <w:b/>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2625"/>
        <w:gridCol w:w="1540"/>
        <w:gridCol w:w="1342"/>
        <w:gridCol w:w="1342"/>
        <w:gridCol w:w="1342"/>
        <w:gridCol w:w="1342"/>
        <w:gridCol w:w="1343"/>
        <w:gridCol w:w="1343"/>
        <w:gridCol w:w="1343"/>
        <w:gridCol w:w="1349"/>
      </w:tblGrid>
      <w:tr w14:paraId="1D06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restart"/>
            <w:noWrap w:val="0"/>
            <w:vAlign w:val="top"/>
          </w:tcPr>
          <w:p w14:paraId="45FDFA9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Наименование муниципальной программы, подпрограммы, отдельного мероприятия</w:t>
            </w:r>
          </w:p>
          <w:p w14:paraId="42F1996C">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540" w:type="dxa"/>
            <w:vMerge w:val="restart"/>
            <w:noWrap w:val="0"/>
            <w:vAlign w:val="top"/>
          </w:tcPr>
          <w:p w14:paraId="6226190B">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Источники финансирования</w:t>
            </w:r>
          </w:p>
        </w:tc>
        <w:tc>
          <w:tcPr>
            <w:tcW w:w="10746" w:type="dxa"/>
            <w:gridSpan w:val="8"/>
            <w:noWrap w:val="0"/>
            <w:vAlign w:val="top"/>
          </w:tcPr>
          <w:p w14:paraId="592C7C95">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Расходы всего, рублей</w:t>
            </w:r>
          </w:p>
        </w:tc>
      </w:tr>
      <w:tr w14:paraId="045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top"/>
          </w:tcPr>
          <w:p w14:paraId="119BB28E">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540" w:type="dxa"/>
            <w:vMerge w:val="continue"/>
            <w:noWrap w:val="0"/>
            <w:vAlign w:val="top"/>
          </w:tcPr>
          <w:p w14:paraId="229F87D4">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1342" w:type="dxa"/>
            <w:noWrap w:val="0"/>
            <w:vAlign w:val="center"/>
          </w:tcPr>
          <w:p w14:paraId="7A36CACA">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2022</w:t>
            </w:r>
          </w:p>
        </w:tc>
        <w:tc>
          <w:tcPr>
            <w:tcW w:w="1342" w:type="dxa"/>
            <w:noWrap w:val="0"/>
            <w:vAlign w:val="center"/>
          </w:tcPr>
          <w:p w14:paraId="1CCEFEA3">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2023</w:t>
            </w:r>
          </w:p>
        </w:tc>
        <w:tc>
          <w:tcPr>
            <w:tcW w:w="1342" w:type="dxa"/>
            <w:noWrap w:val="0"/>
            <w:vAlign w:val="center"/>
          </w:tcPr>
          <w:p w14:paraId="3554F13B">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2024</w:t>
            </w:r>
          </w:p>
        </w:tc>
        <w:tc>
          <w:tcPr>
            <w:tcW w:w="1342" w:type="dxa"/>
            <w:noWrap w:val="0"/>
            <w:vAlign w:val="center"/>
          </w:tcPr>
          <w:p w14:paraId="75AD87BF">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2025</w:t>
            </w:r>
          </w:p>
        </w:tc>
        <w:tc>
          <w:tcPr>
            <w:tcW w:w="1343" w:type="dxa"/>
            <w:noWrap w:val="0"/>
            <w:vAlign w:val="center"/>
          </w:tcPr>
          <w:p w14:paraId="3FC347BD">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2026</w:t>
            </w:r>
          </w:p>
        </w:tc>
        <w:tc>
          <w:tcPr>
            <w:tcW w:w="1343" w:type="dxa"/>
            <w:noWrap w:val="0"/>
            <w:vAlign w:val="center"/>
          </w:tcPr>
          <w:p w14:paraId="1EA41151">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2027</w:t>
            </w:r>
          </w:p>
        </w:tc>
        <w:tc>
          <w:tcPr>
            <w:tcW w:w="1343" w:type="dxa"/>
            <w:noWrap w:val="0"/>
            <w:vAlign w:val="center"/>
          </w:tcPr>
          <w:p w14:paraId="22B8F65F">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2028</w:t>
            </w:r>
          </w:p>
        </w:tc>
        <w:tc>
          <w:tcPr>
            <w:tcW w:w="1349" w:type="dxa"/>
            <w:noWrap w:val="0"/>
            <w:vAlign w:val="center"/>
          </w:tcPr>
          <w:p w14:paraId="0C7D1DAE">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итого</w:t>
            </w:r>
          </w:p>
        </w:tc>
      </w:tr>
      <w:tr w14:paraId="2958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7" w:type="dxa"/>
            <w:gridSpan w:val="2"/>
            <w:vMerge w:val="restart"/>
            <w:noWrap w:val="0"/>
            <w:vAlign w:val="center"/>
          </w:tcPr>
          <w:p w14:paraId="03CD891D">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культуры и туризма Лебяжского муниципального округа"</w:t>
            </w:r>
          </w:p>
        </w:tc>
        <w:tc>
          <w:tcPr>
            <w:tcW w:w="1540" w:type="dxa"/>
            <w:noWrap w:val="0"/>
            <w:vAlign w:val="center"/>
          </w:tcPr>
          <w:p w14:paraId="20F48649">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2DB767F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19 122 308,00</w:t>
            </w:r>
          </w:p>
        </w:tc>
        <w:tc>
          <w:tcPr>
            <w:tcW w:w="1342" w:type="dxa"/>
            <w:noWrap w:val="0"/>
            <w:vAlign w:val="center"/>
          </w:tcPr>
          <w:p w14:paraId="53AD8F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26 030 103,37</w:t>
            </w:r>
          </w:p>
        </w:tc>
        <w:tc>
          <w:tcPr>
            <w:tcW w:w="1342" w:type="dxa"/>
            <w:noWrap w:val="0"/>
            <w:vAlign w:val="center"/>
          </w:tcPr>
          <w:p w14:paraId="23562AF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22 951 594,00</w:t>
            </w:r>
          </w:p>
        </w:tc>
        <w:tc>
          <w:tcPr>
            <w:tcW w:w="1342" w:type="dxa"/>
            <w:noWrap w:val="0"/>
            <w:vAlign w:val="center"/>
          </w:tcPr>
          <w:p w14:paraId="67002B1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30 816 048,00</w:t>
            </w:r>
          </w:p>
        </w:tc>
        <w:tc>
          <w:tcPr>
            <w:tcW w:w="1343" w:type="dxa"/>
            <w:noWrap w:val="0"/>
            <w:vAlign w:val="center"/>
          </w:tcPr>
          <w:p w14:paraId="4ED1F7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24 588 645,00</w:t>
            </w:r>
          </w:p>
        </w:tc>
        <w:tc>
          <w:tcPr>
            <w:tcW w:w="1343" w:type="dxa"/>
            <w:noWrap w:val="0"/>
            <w:vAlign w:val="center"/>
          </w:tcPr>
          <w:p w14:paraId="7F880FE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23 810 151,00</w:t>
            </w:r>
          </w:p>
        </w:tc>
        <w:tc>
          <w:tcPr>
            <w:tcW w:w="1343" w:type="dxa"/>
            <w:noWrap w:val="0"/>
            <w:vAlign w:val="center"/>
          </w:tcPr>
          <w:p w14:paraId="53E38F9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23 068 756,00</w:t>
            </w:r>
          </w:p>
        </w:tc>
        <w:tc>
          <w:tcPr>
            <w:tcW w:w="1349" w:type="dxa"/>
            <w:noWrap w:val="0"/>
            <w:vAlign w:val="center"/>
          </w:tcPr>
          <w:p w14:paraId="6A25B9A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170 387 605,37</w:t>
            </w:r>
          </w:p>
        </w:tc>
      </w:tr>
      <w:tr w14:paraId="3D85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center"/>
          </w:tcPr>
          <w:p w14:paraId="65079D16">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0C6B4388">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D15387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7 718 549,00</w:t>
            </w:r>
          </w:p>
        </w:tc>
        <w:tc>
          <w:tcPr>
            <w:tcW w:w="1342" w:type="dxa"/>
            <w:noWrap w:val="0"/>
            <w:vAlign w:val="center"/>
          </w:tcPr>
          <w:p w14:paraId="39FBD34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10 175 709,37</w:t>
            </w:r>
          </w:p>
        </w:tc>
        <w:tc>
          <w:tcPr>
            <w:tcW w:w="1342" w:type="dxa"/>
            <w:noWrap w:val="0"/>
            <w:vAlign w:val="center"/>
          </w:tcPr>
          <w:p w14:paraId="072071D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4 853 750,00</w:t>
            </w:r>
          </w:p>
        </w:tc>
        <w:tc>
          <w:tcPr>
            <w:tcW w:w="1342" w:type="dxa"/>
            <w:noWrap w:val="0"/>
            <w:vAlign w:val="center"/>
          </w:tcPr>
          <w:p w14:paraId="29C4AF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7 814 600,00</w:t>
            </w:r>
          </w:p>
        </w:tc>
        <w:tc>
          <w:tcPr>
            <w:tcW w:w="1343" w:type="dxa"/>
            <w:noWrap w:val="0"/>
            <w:vAlign w:val="center"/>
          </w:tcPr>
          <w:p w14:paraId="294567E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5 849 145,00</w:t>
            </w:r>
          </w:p>
        </w:tc>
        <w:tc>
          <w:tcPr>
            <w:tcW w:w="1343" w:type="dxa"/>
            <w:noWrap w:val="0"/>
            <w:vAlign w:val="center"/>
          </w:tcPr>
          <w:p w14:paraId="256062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5 849 145,00</w:t>
            </w:r>
          </w:p>
        </w:tc>
        <w:tc>
          <w:tcPr>
            <w:tcW w:w="1343" w:type="dxa"/>
            <w:noWrap w:val="0"/>
            <w:vAlign w:val="center"/>
          </w:tcPr>
          <w:p w14:paraId="1DD3A38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5 849 145,00</w:t>
            </w:r>
          </w:p>
        </w:tc>
        <w:tc>
          <w:tcPr>
            <w:tcW w:w="1349" w:type="dxa"/>
            <w:noWrap w:val="0"/>
            <w:vAlign w:val="center"/>
          </w:tcPr>
          <w:p w14:paraId="6292280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48 110 043,37</w:t>
            </w:r>
          </w:p>
        </w:tc>
      </w:tr>
      <w:tr w14:paraId="0F21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center"/>
          </w:tcPr>
          <w:p w14:paraId="19029196">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1C960332">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7DD0FC2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6 925 276,00</w:t>
            </w:r>
          </w:p>
        </w:tc>
        <w:tc>
          <w:tcPr>
            <w:tcW w:w="1342" w:type="dxa"/>
            <w:noWrap w:val="0"/>
            <w:vAlign w:val="center"/>
          </w:tcPr>
          <w:p w14:paraId="1939E7D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10 467 382,00</w:t>
            </w:r>
          </w:p>
        </w:tc>
        <w:tc>
          <w:tcPr>
            <w:tcW w:w="1342" w:type="dxa"/>
            <w:noWrap w:val="0"/>
            <w:vAlign w:val="center"/>
          </w:tcPr>
          <w:p w14:paraId="3B8071F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9 509 256,00</w:t>
            </w:r>
          </w:p>
        </w:tc>
        <w:tc>
          <w:tcPr>
            <w:tcW w:w="1342" w:type="dxa"/>
            <w:noWrap w:val="0"/>
            <w:vAlign w:val="center"/>
          </w:tcPr>
          <w:p w14:paraId="27DBDC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14 763 307,00</w:t>
            </w:r>
          </w:p>
        </w:tc>
        <w:tc>
          <w:tcPr>
            <w:tcW w:w="1343" w:type="dxa"/>
            <w:noWrap w:val="0"/>
            <w:vAlign w:val="center"/>
          </w:tcPr>
          <w:p w14:paraId="5DFDD2F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10 363 387,00</w:t>
            </w:r>
          </w:p>
        </w:tc>
        <w:tc>
          <w:tcPr>
            <w:tcW w:w="1343" w:type="dxa"/>
            <w:noWrap w:val="0"/>
            <w:vAlign w:val="center"/>
          </w:tcPr>
          <w:p w14:paraId="214DADB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10 084 887,00</w:t>
            </w:r>
          </w:p>
        </w:tc>
        <w:tc>
          <w:tcPr>
            <w:tcW w:w="1343" w:type="dxa"/>
            <w:noWrap w:val="0"/>
            <w:vAlign w:val="center"/>
          </w:tcPr>
          <w:p w14:paraId="690F7D5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9 843 487,00</w:t>
            </w:r>
          </w:p>
        </w:tc>
        <w:tc>
          <w:tcPr>
            <w:tcW w:w="1349" w:type="dxa"/>
            <w:noWrap w:val="0"/>
            <w:vAlign w:val="center"/>
          </w:tcPr>
          <w:p w14:paraId="75ABFB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71 956 982,00</w:t>
            </w:r>
          </w:p>
        </w:tc>
      </w:tr>
      <w:tr w14:paraId="3A0C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center"/>
          </w:tcPr>
          <w:p w14:paraId="44C3FD15">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548A9964">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42" w:type="dxa"/>
            <w:noWrap w:val="0"/>
            <w:vAlign w:val="center"/>
          </w:tcPr>
          <w:p w14:paraId="4B4E0B3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3 693 691,00</w:t>
            </w:r>
          </w:p>
        </w:tc>
        <w:tc>
          <w:tcPr>
            <w:tcW w:w="1342" w:type="dxa"/>
            <w:noWrap w:val="0"/>
            <w:vAlign w:val="center"/>
          </w:tcPr>
          <w:p w14:paraId="337BEC0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4 081 101,00</w:t>
            </w:r>
          </w:p>
        </w:tc>
        <w:tc>
          <w:tcPr>
            <w:tcW w:w="1342" w:type="dxa"/>
            <w:noWrap w:val="0"/>
            <w:vAlign w:val="center"/>
          </w:tcPr>
          <w:p w14:paraId="02F1EE1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5 767 316,00</w:t>
            </w:r>
          </w:p>
        </w:tc>
        <w:tc>
          <w:tcPr>
            <w:tcW w:w="1342" w:type="dxa"/>
            <w:noWrap w:val="0"/>
            <w:vAlign w:val="center"/>
          </w:tcPr>
          <w:p w14:paraId="36BE360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5 733 443,00</w:t>
            </w:r>
          </w:p>
        </w:tc>
        <w:tc>
          <w:tcPr>
            <w:tcW w:w="1343" w:type="dxa"/>
            <w:noWrap w:val="0"/>
            <w:vAlign w:val="center"/>
          </w:tcPr>
          <w:p w14:paraId="41459C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5 019 525,00</w:t>
            </w:r>
          </w:p>
        </w:tc>
        <w:tc>
          <w:tcPr>
            <w:tcW w:w="1343" w:type="dxa"/>
            <w:noWrap w:val="0"/>
            <w:vAlign w:val="center"/>
          </w:tcPr>
          <w:p w14:paraId="4EAE862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5 019 531,00</w:t>
            </w:r>
          </w:p>
        </w:tc>
        <w:tc>
          <w:tcPr>
            <w:tcW w:w="1343" w:type="dxa"/>
            <w:noWrap w:val="0"/>
            <w:vAlign w:val="center"/>
          </w:tcPr>
          <w:p w14:paraId="28466E6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4 519 536,00</w:t>
            </w:r>
          </w:p>
        </w:tc>
        <w:tc>
          <w:tcPr>
            <w:tcW w:w="1349" w:type="dxa"/>
            <w:noWrap w:val="0"/>
            <w:vAlign w:val="center"/>
          </w:tcPr>
          <w:p w14:paraId="23FCEBB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33 834 143,00</w:t>
            </w:r>
          </w:p>
        </w:tc>
      </w:tr>
      <w:tr w14:paraId="190B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center"/>
          </w:tcPr>
          <w:p w14:paraId="6AAA178B">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23EABC87">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МКОУ ДОД Лебяжская ДШИ</w:t>
            </w:r>
          </w:p>
        </w:tc>
        <w:tc>
          <w:tcPr>
            <w:tcW w:w="1342" w:type="dxa"/>
            <w:noWrap w:val="0"/>
            <w:vAlign w:val="center"/>
          </w:tcPr>
          <w:p w14:paraId="02B9692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304 478,00</w:t>
            </w:r>
          </w:p>
        </w:tc>
        <w:tc>
          <w:tcPr>
            <w:tcW w:w="1342" w:type="dxa"/>
            <w:noWrap w:val="0"/>
            <w:vAlign w:val="center"/>
          </w:tcPr>
          <w:p w14:paraId="4E57F1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657 599,00</w:t>
            </w:r>
          </w:p>
        </w:tc>
        <w:tc>
          <w:tcPr>
            <w:tcW w:w="1342" w:type="dxa"/>
            <w:noWrap w:val="0"/>
            <w:vAlign w:val="center"/>
          </w:tcPr>
          <w:p w14:paraId="5B595A6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1 586 650,00</w:t>
            </w:r>
          </w:p>
        </w:tc>
        <w:tc>
          <w:tcPr>
            <w:tcW w:w="1342" w:type="dxa"/>
            <w:noWrap w:val="0"/>
            <w:vAlign w:val="center"/>
          </w:tcPr>
          <w:p w14:paraId="3EE2D55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1 112 655,00</w:t>
            </w:r>
          </w:p>
        </w:tc>
        <w:tc>
          <w:tcPr>
            <w:tcW w:w="1343" w:type="dxa"/>
            <w:noWrap w:val="0"/>
            <w:vAlign w:val="center"/>
          </w:tcPr>
          <w:p w14:paraId="604420D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1 970 700,00</w:t>
            </w:r>
          </w:p>
        </w:tc>
        <w:tc>
          <w:tcPr>
            <w:tcW w:w="1343" w:type="dxa"/>
            <w:noWrap w:val="0"/>
            <w:vAlign w:val="center"/>
          </w:tcPr>
          <w:p w14:paraId="20338D7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43" w:type="dxa"/>
            <w:noWrap w:val="0"/>
            <w:vAlign w:val="center"/>
          </w:tcPr>
          <w:p w14:paraId="2C1DA11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49" w:type="dxa"/>
            <w:noWrap w:val="0"/>
            <w:vAlign w:val="center"/>
          </w:tcPr>
          <w:p w14:paraId="45DB918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8 573 482,00</w:t>
            </w:r>
          </w:p>
        </w:tc>
      </w:tr>
      <w:tr w14:paraId="3195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7" w:type="dxa"/>
            <w:gridSpan w:val="2"/>
            <w:vMerge w:val="continue"/>
            <w:noWrap w:val="0"/>
            <w:vAlign w:val="center"/>
          </w:tcPr>
          <w:p w14:paraId="144CC7B3">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3F444600">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Соискатель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42" w:type="dxa"/>
            <w:noWrap w:val="0"/>
            <w:vAlign w:val="center"/>
          </w:tcPr>
          <w:p w14:paraId="39B9710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480 314,00</w:t>
            </w:r>
          </w:p>
        </w:tc>
        <w:tc>
          <w:tcPr>
            <w:tcW w:w="1342" w:type="dxa"/>
            <w:noWrap w:val="0"/>
            <w:vAlign w:val="center"/>
          </w:tcPr>
          <w:p w14:paraId="74EBDFA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648 312,00</w:t>
            </w:r>
          </w:p>
        </w:tc>
        <w:tc>
          <w:tcPr>
            <w:tcW w:w="1342" w:type="dxa"/>
            <w:noWrap w:val="0"/>
            <w:vAlign w:val="center"/>
          </w:tcPr>
          <w:p w14:paraId="4C3279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1 234 622,00</w:t>
            </w:r>
          </w:p>
        </w:tc>
        <w:tc>
          <w:tcPr>
            <w:tcW w:w="1342" w:type="dxa"/>
            <w:noWrap w:val="0"/>
            <w:vAlign w:val="center"/>
          </w:tcPr>
          <w:p w14:paraId="47EAB8E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1 392 043,00</w:t>
            </w:r>
          </w:p>
        </w:tc>
        <w:tc>
          <w:tcPr>
            <w:tcW w:w="1343" w:type="dxa"/>
            <w:noWrap w:val="0"/>
            <w:vAlign w:val="center"/>
          </w:tcPr>
          <w:p w14:paraId="4FD830C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3" w:type="dxa"/>
            <w:noWrap w:val="0"/>
            <w:vAlign w:val="center"/>
          </w:tcPr>
          <w:p w14:paraId="577C023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3" w:type="dxa"/>
            <w:noWrap w:val="0"/>
            <w:vAlign w:val="center"/>
          </w:tcPr>
          <w:p w14:paraId="74FBF4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9" w:type="dxa"/>
            <w:noWrap w:val="0"/>
            <w:vAlign w:val="center"/>
          </w:tcPr>
          <w:p w14:paraId="0DB2AC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7 912 955,00</w:t>
            </w:r>
          </w:p>
        </w:tc>
      </w:tr>
      <w:tr w14:paraId="7E2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noWrap w:val="0"/>
            <w:vAlign w:val="center"/>
          </w:tcPr>
          <w:p w14:paraId="3485AAEF">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1</w:t>
            </w:r>
          </w:p>
        </w:tc>
        <w:tc>
          <w:tcPr>
            <w:tcW w:w="2625" w:type="dxa"/>
            <w:vMerge w:val="restart"/>
            <w:noWrap w:val="0"/>
            <w:vAlign w:val="center"/>
          </w:tcPr>
          <w:p w14:paraId="586F2533">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современного туристического комплекса</w:t>
            </w:r>
          </w:p>
        </w:tc>
        <w:tc>
          <w:tcPr>
            <w:tcW w:w="1540" w:type="dxa"/>
            <w:noWrap w:val="0"/>
            <w:vAlign w:val="center"/>
          </w:tcPr>
          <w:p w14:paraId="500B282E">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041AEF1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970 698,00</w:t>
            </w:r>
          </w:p>
        </w:tc>
        <w:tc>
          <w:tcPr>
            <w:tcW w:w="1342" w:type="dxa"/>
            <w:noWrap w:val="0"/>
            <w:vAlign w:val="center"/>
          </w:tcPr>
          <w:p w14:paraId="68F625C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939 100,00</w:t>
            </w:r>
          </w:p>
        </w:tc>
        <w:tc>
          <w:tcPr>
            <w:tcW w:w="1342" w:type="dxa"/>
            <w:noWrap w:val="0"/>
            <w:vAlign w:val="center"/>
          </w:tcPr>
          <w:p w14:paraId="646394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861 800,00</w:t>
            </w:r>
          </w:p>
        </w:tc>
        <w:tc>
          <w:tcPr>
            <w:tcW w:w="1342" w:type="dxa"/>
            <w:noWrap w:val="0"/>
            <w:vAlign w:val="center"/>
          </w:tcPr>
          <w:p w14:paraId="737FFA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836 200,00</w:t>
            </w:r>
          </w:p>
        </w:tc>
        <w:tc>
          <w:tcPr>
            <w:tcW w:w="1343" w:type="dxa"/>
            <w:noWrap w:val="0"/>
            <w:vAlign w:val="center"/>
          </w:tcPr>
          <w:p w14:paraId="3635913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1 026 900,00</w:t>
            </w:r>
          </w:p>
        </w:tc>
        <w:tc>
          <w:tcPr>
            <w:tcW w:w="1343" w:type="dxa"/>
            <w:noWrap w:val="0"/>
            <w:vAlign w:val="center"/>
          </w:tcPr>
          <w:p w14:paraId="2F4D28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1 001 900,00</w:t>
            </w:r>
          </w:p>
        </w:tc>
        <w:tc>
          <w:tcPr>
            <w:tcW w:w="1343" w:type="dxa"/>
            <w:noWrap w:val="0"/>
            <w:vAlign w:val="center"/>
          </w:tcPr>
          <w:p w14:paraId="181AAE4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1 001 900,00</w:t>
            </w:r>
          </w:p>
        </w:tc>
        <w:tc>
          <w:tcPr>
            <w:tcW w:w="1349" w:type="dxa"/>
            <w:noWrap w:val="0"/>
            <w:vAlign w:val="center"/>
          </w:tcPr>
          <w:p w14:paraId="79A367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6 638 498,00</w:t>
            </w:r>
          </w:p>
        </w:tc>
      </w:tr>
      <w:tr w14:paraId="62C6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noWrap w:val="0"/>
            <w:vAlign w:val="center"/>
          </w:tcPr>
          <w:p w14:paraId="6129BED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noWrap w:val="0"/>
            <w:vAlign w:val="center"/>
          </w:tcPr>
          <w:p w14:paraId="3933F653">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57F3EDFA">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95C6C1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AD887C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BFDC21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641875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D262678">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619290D">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84BCEAF">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63D756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772D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noWrap w:val="0"/>
            <w:vAlign w:val="center"/>
          </w:tcPr>
          <w:p w14:paraId="3FD649AC">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noWrap w:val="0"/>
            <w:vAlign w:val="center"/>
          </w:tcPr>
          <w:p w14:paraId="4D7438DE">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5F323A39">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657CD6A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970 698,00</w:t>
            </w:r>
          </w:p>
        </w:tc>
        <w:tc>
          <w:tcPr>
            <w:tcW w:w="1342" w:type="dxa"/>
            <w:noWrap w:val="0"/>
            <w:vAlign w:val="center"/>
          </w:tcPr>
          <w:p w14:paraId="78EFFE4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939 100,00</w:t>
            </w:r>
          </w:p>
        </w:tc>
        <w:tc>
          <w:tcPr>
            <w:tcW w:w="1342" w:type="dxa"/>
            <w:noWrap w:val="0"/>
            <w:vAlign w:val="center"/>
          </w:tcPr>
          <w:p w14:paraId="3D7CF6C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861 800,00</w:t>
            </w:r>
          </w:p>
        </w:tc>
        <w:tc>
          <w:tcPr>
            <w:tcW w:w="1342" w:type="dxa"/>
            <w:noWrap w:val="0"/>
            <w:vAlign w:val="center"/>
          </w:tcPr>
          <w:p w14:paraId="3C63704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836 200,00</w:t>
            </w:r>
          </w:p>
        </w:tc>
        <w:tc>
          <w:tcPr>
            <w:tcW w:w="1343" w:type="dxa"/>
            <w:noWrap w:val="0"/>
            <w:vAlign w:val="center"/>
          </w:tcPr>
          <w:p w14:paraId="27CC4D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1 026 900,00</w:t>
            </w:r>
          </w:p>
        </w:tc>
        <w:tc>
          <w:tcPr>
            <w:tcW w:w="1343" w:type="dxa"/>
            <w:noWrap w:val="0"/>
            <w:vAlign w:val="center"/>
          </w:tcPr>
          <w:p w14:paraId="430B52F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1 001 900,00</w:t>
            </w:r>
          </w:p>
        </w:tc>
        <w:tc>
          <w:tcPr>
            <w:tcW w:w="1343" w:type="dxa"/>
            <w:noWrap w:val="0"/>
            <w:vAlign w:val="center"/>
          </w:tcPr>
          <w:p w14:paraId="2C85A03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1 001 900,00</w:t>
            </w:r>
          </w:p>
        </w:tc>
        <w:tc>
          <w:tcPr>
            <w:tcW w:w="1349" w:type="dxa"/>
            <w:noWrap w:val="0"/>
            <w:vAlign w:val="center"/>
          </w:tcPr>
          <w:p w14:paraId="582DC6C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6 638 498,00</w:t>
            </w:r>
          </w:p>
        </w:tc>
      </w:tr>
      <w:tr w14:paraId="2D36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noWrap w:val="0"/>
            <w:vAlign w:val="center"/>
          </w:tcPr>
          <w:p w14:paraId="17C2F8F4">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w:t>
            </w:r>
          </w:p>
        </w:tc>
        <w:tc>
          <w:tcPr>
            <w:tcW w:w="2625" w:type="dxa"/>
            <w:vMerge w:val="restart"/>
            <w:noWrap w:val="0"/>
            <w:vAlign w:val="center"/>
          </w:tcPr>
          <w:p w14:paraId="11F11959">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и поддержка культурно-досуговой , концертной деятельности и народного творчества в Лебяжском</w:t>
            </w:r>
            <w:r>
              <w:rPr>
                <w:rFonts w:hint="default" w:ascii="Times New Roman" w:hAnsi="Times New Roman" w:cs="Times New Roman"/>
                <w:i w:val="0"/>
                <w:iCs w:val="0"/>
                <w:color w:val="000000"/>
                <w:kern w:val="0"/>
                <w:sz w:val="18"/>
                <w:szCs w:val="18"/>
                <w:u w:val="none"/>
                <w:lang w:val="ru-RU" w:eastAsia="zh-CN" w:bidi="ar"/>
              </w:rPr>
              <w:t xml:space="preserve"> </w:t>
            </w:r>
            <w:r>
              <w:rPr>
                <w:rFonts w:hint="default" w:ascii="Times New Roman" w:hAnsi="Times New Roman" w:eastAsia="SimSun" w:cs="Times New Roman"/>
                <w:i w:val="0"/>
                <w:iCs w:val="0"/>
                <w:color w:val="000000"/>
                <w:kern w:val="0"/>
                <w:sz w:val="18"/>
                <w:szCs w:val="18"/>
                <w:u w:val="none"/>
                <w:lang w:val="en-US" w:eastAsia="zh-CN" w:bidi="ar"/>
              </w:rPr>
              <w:t>муниципальном округе</w:t>
            </w:r>
          </w:p>
        </w:tc>
        <w:tc>
          <w:tcPr>
            <w:tcW w:w="1540" w:type="dxa"/>
            <w:noWrap w:val="0"/>
            <w:vAlign w:val="center"/>
          </w:tcPr>
          <w:p w14:paraId="32390964">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2ED148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5 954 578,00</w:t>
            </w:r>
          </w:p>
        </w:tc>
        <w:tc>
          <w:tcPr>
            <w:tcW w:w="1342" w:type="dxa"/>
            <w:noWrap w:val="0"/>
            <w:vAlign w:val="center"/>
          </w:tcPr>
          <w:p w14:paraId="041ABEA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9 528 282,00</w:t>
            </w:r>
          </w:p>
        </w:tc>
        <w:tc>
          <w:tcPr>
            <w:tcW w:w="1342" w:type="dxa"/>
            <w:noWrap w:val="0"/>
            <w:vAlign w:val="center"/>
          </w:tcPr>
          <w:p w14:paraId="639B4D2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8 647 456,00</w:t>
            </w:r>
          </w:p>
        </w:tc>
        <w:tc>
          <w:tcPr>
            <w:tcW w:w="1342" w:type="dxa"/>
            <w:noWrap w:val="0"/>
            <w:vAlign w:val="center"/>
          </w:tcPr>
          <w:p w14:paraId="56847D8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13 927 107,00</w:t>
            </w:r>
          </w:p>
        </w:tc>
        <w:tc>
          <w:tcPr>
            <w:tcW w:w="1343" w:type="dxa"/>
            <w:noWrap w:val="0"/>
            <w:vAlign w:val="center"/>
          </w:tcPr>
          <w:p w14:paraId="03F5B3A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9 336 487,00</w:t>
            </w:r>
          </w:p>
        </w:tc>
        <w:tc>
          <w:tcPr>
            <w:tcW w:w="1343" w:type="dxa"/>
            <w:noWrap w:val="0"/>
            <w:vAlign w:val="center"/>
          </w:tcPr>
          <w:p w14:paraId="66DFF05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9 082 987,00</w:t>
            </w:r>
          </w:p>
        </w:tc>
        <w:tc>
          <w:tcPr>
            <w:tcW w:w="1343" w:type="dxa"/>
            <w:noWrap w:val="0"/>
            <w:vAlign w:val="center"/>
          </w:tcPr>
          <w:p w14:paraId="5B31364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8 841 587,00</w:t>
            </w:r>
          </w:p>
        </w:tc>
        <w:tc>
          <w:tcPr>
            <w:tcW w:w="1349" w:type="dxa"/>
            <w:noWrap w:val="0"/>
            <w:vAlign w:val="center"/>
          </w:tcPr>
          <w:p w14:paraId="24AD704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65 318 484,00</w:t>
            </w:r>
          </w:p>
        </w:tc>
      </w:tr>
      <w:tr w14:paraId="3BF5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noWrap w:val="0"/>
            <w:vAlign w:val="center"/>
          </w:tcPr>
          <w:p w14:paraId="4C51325E">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noWrap w:val="0"/>
            <w:vAlign w:val="center"/>
          </w:tcPr>
          <w:p w14:paraId="183320C9">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76C36A5D">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5E52E24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238584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0E130A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686AD6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A9D6FBE">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1F3C71A">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E4848B4">
            <w:pPr>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4FE74B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399C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noWrap w:val="0"/>
            <w:vAlign w:val="center"/>
          </w:tcPr>
          <w:p w14:paraId="0B9C9BB0">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noWrap w:val="0"/>
            <w:vAlign w:val="center"/>
          </w:tcPr>
          <w:p w14:paraId="3F851781">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noWrap w:val="0"/>
            <w:vAlign w:val="center"/>
          </w:tcPr>
          <w:p w14:paraId="6EBE07B6">
            <w:pPr>
              <w:keepNext w:val="0"/>
              <w:keepLines w:val="0"/>
              <w:widowControl/>
              <w:suppressLineNumbers w:val="0"/>
              <w:ind w:left="0" w:leftChars="0" w:firstLine="0" w:firstLineChars="0"/>
              <w:jc w:val="center"/>
              <w:textAlignment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3628E3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5 954 578,00</w:t>
            </w:r>
          </w:p>
        </w:tc>
        <w:tc>
          <w:tcPr>
            <w:tcW w:w="1342" w:type="dxa"/>
            <w:noWrap w:val="0"/>
            <w:vAlign w:val="center"/>
          </w:tcPr>
          <w:p w14:paraId="1B944A1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9 528 282,00</w:t>
            </w:r>
          </w:p>
        </w:tc>
        <w:tc>
          <w:tcPr>
            <w:tcW w:w="1342" w:type="dxa"/>
            <w:noWrap w:val="0"/>
            <w:vAlign w:val="center"/>
          </w:tcPr>
          <w:p w14:paraId="4FEA61D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8 647 456,00</w:t>
            </w:r>
          </w:p>
        </w:tc>
        <w:tc>
          <w:tcPr>
            <w:tcW w:w="1342" w:type="dxa"/>
            <w:noWrap w:val="0"/>
            <w:vAlign w:val="center"/>
          </w:tcPr>
          <w:p w14:paraId="37EA4E3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13 927 107,00</w:t>
            </w:r>
          </w:p>
        </w:tc>
        <w:tc>
          <w:tcPr>
            <w:tcW w:w="1343" w:type="dxa"/>
            <w:noWrap w:val="0"/>
            <w:vAlign w:val="center"/>
          </w:tcPr>
          <w:p w14:paraId="2743353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9 336 487,00</w:t>
            </w:r>
          </w:p>
        </w:tc>
        <w:tc>
          <w:tcPr>
            <w:tcW w:w="1343" w:type="dxa"/>
            <w:noWrap w:val="0"/>
            <w:vAlign w:val="center"/>
          </w:tcPr>
          <w:p w14:paraId="06778A0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9 082 987,00</w:t>
            </w:r>
          </w:p>
        </w:tc>
        <w:tc>
          <w:tcPr>
            <w:tcW w:w="1343" w:type="dxa"/>
            <w:noWrap w:val="0"/>
            <w:vAlign w:val="center"/>
          </w:tcPr>
          <w:p w14:paraId="6B61BB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8 841 587,00</w:t>
            </w:r>
          </w:p>
        </w:tc>
        <w:tc>
          <w:tcPr>
            <w:tcW w:w="1349" w:type="dxa"/>
            <w:noWrap w:val="0"/>
            <w:vAlign w:val="center"/>
          </w:tcPr>
          <w:p w14:paraId="192C5B1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65 318 484,00</w:t>
            </w:r>
          </w:p>
        </w:tc>
      </w:tr>
      <w:tr w14:paraId="0633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5657F019">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2.1</w:t>
            </w:r>
          </w:p>
        </w:tc>
        <w:tc>
          <w:tcPr>
            <w:tcW w:w="2625" w:type="dxa"/>
            <w:vMerge w:val="restart"/>
            <w:shd w:val="clear" w:color="auto" w:fill="auto"/>
            <w:noWrap w:val="0"/>
            <w:vAlign w:val="center"/>
          </w:tcPr>
          <w:p w14:paraId="1C78EC18">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обеспечение учреждений культуры Кировской области специализированным автотранспортом для обслуживания населения, в том числе сельского населения</w:t>
            </w:r>
          </w:p>
        </w:tc>
        <w:tc>
          <w:tcPr>
            <w:tcW w:w="1540" w:type="dxa"/>
            <w:shd w:val="clear" w:color="auto" w:fill="FFFFFF"/>
            <w:noWrap w:val="0"/>
            <w:vAlign w:val="center"/>
          </w:tcPr>
          <w:p w14:paraId="364D407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687ED8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789A0B4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2 865 230,00</w:t>
            </w:r>
          </w:p>
        </w:tc>
        <w:tc>
          <w:tcPr>
            <w:tcW w:w="1342" w:type="dxa"/>
            <w:noWrap w:val="0"/>
            <w:vAlign w:val="center"/>
          </w:tcPr>
          <w:p w14:paraId="6BC4F2A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7FA3D8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5CE9ACC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40EAAF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0294FDB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05533F1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2 865 230,00</w:t>
            </w:r>
          </w:p>
        </w:tc>
      </w:tr>
      <w:tr w14:paraId="50B0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56260128">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shd w:val="clear" w:color="auto" w:fill="auto"/>
            <w:noWrap w:val="0"/>
            <w:vAlign w:val="center"/>
          </w:tcPr>
          <w:p w14:paraId="7DC1CF54">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shd w:val="clear" w:color="auto" w:fill="FFFFFF"/>
            <w:noWrap w:val="0"/>
            <w:vAlign w:val="center"/>
          </w:tcPr>
          <w:p w14:paraId="43398C1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6DAF488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EE03B2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B6C1BF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326976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FC9179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3FEC60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8EFF89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54FDA15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298E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71527456">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shd w:val="clear" w:color="auto" w:fill="auto"/>
            <w:noWrap w:val="0"/>
            <w:vAlign w:val="center"/>
          </w:tcPr>
          <w:p w14:paraId="75313FBE">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shd w:val="clear" w:color="auto" w:fill="FFFFFF"/>
            <w:noWrap w:val="0"/>
            <w:vAlign w:val="center"/>
          </w:tcPr>
          <w:p w14:paraId="6649E35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0B93678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14651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2 865 230,00</w:t>
            </w:r>
          </w:p>
        </w:tc>
        <w:tc>
          <w:tcPr>
            <w:tcW w:w="1342" w:type="dxa"/>
            <w:noWrap w:val="0"/>
            <w:vAlign w:val="center"/>
          </w:tcPr>
          <w:p w14:paraId="287779E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B55883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48BB19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4007A6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9A49A8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3A96E59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2 865 230,00</w:t>
            </w:r>
          </w:p>
        </w:tc>
      </w:tr>
      <w:tr w14:paraId="3950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42" w:type="dxa"/>
            <w:vMerge w:val="restart"/>
            <w:shd w:val="clear" w:color="auto" w:fill="auto"/>
            <w:noWrap w:val="0"/>
            <w:vAlign w:val="center"/>
          </w:tcPr>
          <w:p w14:paraId="3011E1BD">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2.2</w:t>
            </w:r>
          </w:p>
        </w:tc>
        <w:tc>
          <w:tcPr>
            <w:tcW w:w="2625" w:type="dxa"/>
            <w:vMerge w:val="restart"/>
            <w:shd w:val="clear" w:color="auto" w:fill="auto"/>
            <w:noWrap w:val="0"/>
            <w:vAlign w:val="center"/>
          </w:tcPr>
          <w:p w14:paraId="602EFA19">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 xml:space="preserve">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1540" w:type="dxa"/>
            <w:shd w:val="clear" w:color="auto" w:fill="FFFFFF"/>
            <w:noWrap w:val="0"/>
            <w:vAlign w:val="center"/>
          </w:tcPr>
          <w:p w14:paraId="5315715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7C83094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46A3CBB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32E6FAB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3AB954D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79AD18A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4226F9D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6911E80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54606F1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58C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42" w:type="dxa"/>
            <w:vMerge w:val="continue"/>
            <w:shd w:val="clear" w:color="auto" w:fill="auto"/>
            <w:noWrap w:val="0"/>
            <w:vAlign w:val="center"/>
          </w:tcPr>
          <w:p w14:paraId="5C7CB9EC">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shd w:val="clear" w:color="auto" w:fill="auto"/>
            <w:noWrap w:val="0"/>
            <w:vAlign w:val="center"/>
          </w:tcPr>
          <w:p w14:paraId="002C7400">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shd w:val="clear" w:color="auto" w:fill="FFFFFF"/>
            <w:noWrap w:val="0"/>
            <w:vAlign w:val="center"/>
          </w:tcPr>
          <w:p w14:paraId="35904AA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548AE4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D6EE4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16AEBE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8A495D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3D9AF1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93D0B8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E463EE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11FE172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4530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31EF56C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shd w:val="clear" w:color="auto" w:fill="auto"/>
            <w:noWrap w:val="0"/>
            <w:vAlign w:val="center"/>
          </w:tcPr>
          <w:p w14:paraId="28399BE6">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shd w:val="clear" w:color="auto" w:fill="FFFFFF"/>
            <w:noWrap w:val="0"/>
            <w:vAlign w:val="center"/>
          </w:tcPr>
          <w:p w14:paraId="4AC56B8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4FB734D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6F5B91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FC32A3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58A5EB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72D471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5ACAC4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27C503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511395E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4F4F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8577324">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2.3</w:t>
            </w:r>
          </w:p>
        </w:tc>
        <w:tc>
          <w:tcPr>
            <w:tcW w:w="2625" w:type="dxa"/>
            <w:vMerge w:val="restart"/>
            <w:shd w:val="clear" w:color="auto" w:fill="auto"/>
            <w:noWrap w:val="0"/>
            <w:vAlign w:val="center"/>
          </w:tcPr>
          <w:p w14:paraId="2CC4A22A">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Приобретение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tc>
        <w:tc>
          <w:tcPr>
            <w:tcW w:w="1540" w:type="dxa"/>
            <w:shd w:val="clear" w:color="auto" w:fill="FFFFFF"/>
            <w:noWrap w:val="0"/>
            <w:vAlign w:val="center"/>
          </w:tcPr>
          <w:p w14:paraId="77000BA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245FF4E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41C2A99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3869AC2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76A147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7434F4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E7519C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7FD05AA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0D8719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DF6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1027E547">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625" w:type="dxa"/>
            <w:vMerge w:val="continue"/>
            <w:shd w:val="clear" w:color="auto" w:fill="auto"/>
            <w:noWrap w:val="0"/>
            <w:vAlign w:val="center"/>
          </w:tcPr>
          <w:p w14:paraId="2BCE6E8C">
            <w:pPr>
              <w:spacing w:line="100" w:lineRule="atLeast"/>
              <w:ind w:left="0" w:leftChars="0" w:firstLine="0" w:firstLineChars="0"/>
              <w:jc w:val="center"/>
              <w:rPr>
                <w:rFonts w:hint="default" w:ascii="Times New Roman" w:hAnsi="Times New Roman" w:cs="Times New Roman"/>
                <w:b/>
                <w:szCs w:val="28"/>
                <w:vertAlign w:val="baseline"/>
              </w:rPr>
            </w:pPr>
          </w:p>
        </w:tc>
        <w:tc>
          <w:tcPr>
            <w:tcW w:w="1540" w:type="dxa"/>
            <w:shd w:val="clear" w:color="auto" w:fill="FFFFFF"/>
            <w:noWrap w:val="0"/>
            <w:vAlign w:val="center"/>
          </w:tcPr>
          <w:p w14:paraId="4A10C48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50ED735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0170E2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403F52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D4764C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54C8C6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E83A97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74EE42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55EC513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5617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1F91199B">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46E2A27C">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55A87DF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7FB4FCA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8955FB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165217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7D9D29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B9C0E5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1BDF6A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C6BDE1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651B96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758C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0C897B6B">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2.4</w:t>
            </w:r>
          </w:p>
        </w:tc>
        <w:tc>
          <w:tcPr>
            <w:tcW w:w="2625" w:type="dxa"/>
            <w:vMerge w:val="restart"/>
            <w:shd w:val="clear" w:color="auto" w:fill="auto"/>
            <w:noWrap w:val="0"/>
            <w:vAlign w:val="center"/>
          </w:tcPr>
          <w:p w14:paraId="4E5C7589">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Лебяжского Дома культуры</w:t>
            </w:r>
          </w:p>
        </w:tc>
        <w:tc>
          <w:tcPr>
            <w:tcW w:w="1540" w:type="dxa"/>
            <w:shd w:val="clear" w:color="auto" w:fill="FFFFFF"/>
            <w:noWrap w:val="0"/>
            <w:vAlign w:val="center"/>
          </w:tcPr>
          <w:p w14:paraId="06B0FC96">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1EBEB11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05310C4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21C2549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1E3085C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3AFF2F6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E8BB39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8222EB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7E7ED75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1FC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032BB91A">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52B879C6">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54C7FB1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3367C36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D17889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F0986D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B62B8A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B087B9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6A200B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72CC4B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A3D5AF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35AC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7342BC31">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40AFE31E">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6234268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4615312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5A1989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1F359A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966317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E3D70D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5A9D82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A6A472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642062D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03BE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2CA1A35">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2.5</w:t>
            </w:r>
          </w:p>
        </w:tc>
        <w:tc>
          <w:tcPr>
            <w:tcW w:w="2625" w:type="dxa"/>
            <w:vMerge w:val="restart"/>
            <w:shd w:val="clear" w:color="auto" w:fill="auto"/>
            <w:noWrap w:val="0"/>
            <w:vAlign w:val="center"/>
          </w:tcPr>
          <w:p w14:paraId="6E59B0A2">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p>
        </w:tc>
        <w:tc>
          <w:tcPr>
            <w:tcW w:w="1540" w:type="dxa"/>
            <w:shd w:val="clear" w:color="auto" w:fill="FFFFFF"/>
            <w:noWrap w:val="0"/>
            <w:vAlign w:val="center"/>
          </w:tcPr>
          <w:p w14:paraId="2A2614F4">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4D4DFE2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734BDD4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03008A9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069117E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9E3018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668E3E4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D13B6E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5434DFB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62F9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3E9A7370">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7545CB62">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4928A3A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60C41B9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81362A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D7C1E2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BB59EE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4740D8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AD31AD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519404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16BCD4C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4E72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750FD578">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7C34593D">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0AF9613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140B21F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4FEAE2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10DF38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FB4440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B212FA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4DE9C3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374FAD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1F54C8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737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40AF2ADF">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2.6</w:t>
            </w:r>
          </w:p>
        </w:tc>
        <w:tc>
          <w:tcPr>
            <w:tcW w:w="2625" w:type="dxa"/>
            <w:vMerge w:val="restart"/>
            <w:shd w:val="clear" w:color="auto" w:fill="auto"/>
            <w:noWrap w:val="0"/>
            <w:vAlign w:val="center"/>
          </w:tcPr>
          <w:p w14:paraId="49D8113D">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p>
        </w:tc>
        <w:tc>
          <w:tcPr>
            <w:tcW w:w="1540" w:type="dxa"/>
            <w:shd w:val="clear" w:color="auto" w:fill="FFFFFF"/>
            <w:noWrap w:val="0"/>
            <w:vAlign w:val="center"/>
          </w:tcPr>
          <w:p w14:paraId="670A9F2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D5F14A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6D5BDB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FAD6C5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DF28AE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4BA757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16320A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1CC9A4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39FE45B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1990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2C9C7ADE">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33CABA83">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0FEE2334">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77BE558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3A329C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1641C6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07053B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89686D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128FAD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33AF12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60F42C2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1C5F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noWrap w:val="0"/>
            <w:vAlign w:val="center"/>
          </w:tcPr>
          <w:p w14:paraId="5790C994">
            <w:pPr>
              <w:spacing w:line="100" w:lineRule="atLeast"/>
              <w:ind w:left="0" w:leftChars="0" w:firstLine="0" w:firstLineChars="0"/>
              <w:jc w:val="center"/>
              <w:rPr>
                <w:b w:val="0"/>
                <w:bCs/>
                <w:sz w:val="18"/>
                <w:szCs w:val="18"/>
                <w:vertAlign w:val="baseline"/>
              </w:rPr>
            </w:pPr>
          </w:p>
        </w:tc>
        <w:tc>
          <w:tcPr>
            <w:tcW w:w="2625" w:type="dxa"/>
            <w:vMerge w:val="continue"/>
            <w:noWrap w:val="0"/>
            <w:vAlign w:val="center"/>
          </w:tcPr>
          <w:p w14:paraId="1500BDC3">
            <w:pPr>
              <w:spacing w:line="100" w:lineRule="atLeast"/>
              <w:ind w:left="0" w:leftChars="0" w:firstLine="0" w:firstLineChars="0"/>
              <w:jc w:val="center"/>
              <w:rPr>
                <w:b/>
                <w:szCs w:val="28"/>
                <w:vertAlign w:val="baseline"/>
              </w:rPr>
            </w:pPr>
          </w:p>
        </w:tc>
        <w:tc>
          <w:tcPr>
            <w:tcW w:w="1540" w:type="dxa"/>
            <w:noWrap w:val="0"/>
            <w:vAlign w:val="center"/>
          </w:tcPr>
          <w:p w14:paraId="064F8E4D">
            <w:pPr>
              <w:keepNext w:val="0"/>
              <w:keepLines w:val="0"/>
              <w:widowControl/>
              <w:suppressLineNumbers w:val="0"/>
              <w:ind w:left="0" w:leftChars="0" w:firstLine="0" w:firstLineChars="0"/>
              <w:jc w:val="center"/>
              <w:textAlignment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ЦКС</w:t>
            </w:r>
          </w:p>
        </w:tc>
        <w:tc>
          <w:tcPr>
            <w:tcW w:w="1342" w:type="dxa"/>
            <w:noWrap w:val="0"/>
            <w:vAlign w:val="center"/>
          </w:tcPr>
          <w:p w14:paraId="5C25E9F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3EE609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B62FE6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24306E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508580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BAF2CE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E27A01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11FE0F1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0844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4155A60C">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3</w:t>
            </w:r>
          </w:p>
        </w:tc>
        <w:tc>
          <w:tcPr>
            <w:tcW w:w="2625" w:type="dxa"/>
            <w:vMerge w:val="restart"/>
            <w:shd w:val="clear" w:color="auto" w:fill="auto"/>
            <w:noWrap w:val="0"/>
            <w:vAlign w:val="center"/>
          </w:tcPr>
          <w:p w14:paraId="387B7851">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библиотечно-информационного обслуживания населения Лебяжского муниципального округа</w:t>
            </w:r>
          </w:p>
        </w:tc>
        <w:tc>
          <w:tcPr>
            <w:tcW w:w="1540" w:type="dxa"/>
            <w:shd w:val="clear" w:color="auto" w:fill="FFFFFF"/>
            <w:noWrap w:val="0"/>
            <w:vAlign w:val="center"/>
          </w:tcPr>
          <w:p w14:paraId="0AEBDC9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5EF7671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3 693 691,00</w:t>
            </w:r>
          </w:p>
        </w:tc>
        <w:tc>
          <w:tcPr>
            <w:tcW w:w="1342" w:type="dxa"/>
            <w:noWrap w:val="0"/>
            <w:vAlign w:val="center"/>
          </w:tcPr>
          <w:p w14:paraId="576A549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4 081 101,00</w:t>
            </w:r>
          </w:p>
        </w:tc>
        <w:tc>
          <w:tcPr>
            <w:tcW w:w="1342" w:type="dxa"/>
            <w:noWrap w:val="0"/>
            <w:vAlign w:val="center"/>
          </w:tcPr>
          <w:p w14:paraId="7AF8F0C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5 767 316,00</w:t>
            </w:r>
          </w:p>
        </w:tc>
        <w:tc>
          <w:tcPr>
            <w:tcW w:w="1342" w:type="dxa"/>
            <w:noWrap w:val="0"/>
            <w:vAlign w:val="center"/>
          </w:tcPr>
          <w:p w14:paraId="3F23DF8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5 733 443,00</w:t>
            </w:r>
          </w:p>
        </w:tc>
        <w:tc>
          <w:tcPr>
            <w:tcW w:w="1343" w:type="dxa"/>
            <w:noWrap w:val="0"/>
            <w:vAlign w:val="center"/>
          </w:tcPr>
          <w:p w14:paraId="3B1718D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5 019 525,00</w:t>
            </w:r>
          </w:p>
        </w:tc>
        <w:tc>
          <w:tcPr>
            <w:tcW w:w="1343" w:type="dxa"/>
            <w:noWrap w:val="0"/>
            <w:vAlign w:val="center"/>
          </w:tcPr>
          <w:p w14:paraId="52AD661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5 019 531,00</w:t>
            </w:r>
          </w:p>
        </w:tc>
        <w:tc>
          <w:tcPr>
            <w:tcW w:w="1343" w:type="dxa"/>
            <w:noWrap w:val="0"/>
            <w:vAlign w:val="center"/>
          </w:tcPr>
          <w:p w14:paraId="0B6207F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4 519 536,00</w:t>
            </w:r>
          </w:p>
        </w:tc>
        <w:tc>
          <w:tcPr>
            <w:tcW w:w="1349" w:type="dxa"/>
            <w:noWrap w:val="0"/>
            <w:vAlign w:val="center"/>
          </w:tcPr>
          <w:p w14:paraId="5A5B5D4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33 834 143,00</w:t>
            </w:r>
          </w:p>
        </w:tc>
      </w:tr>
      <w:tr w14:paraId="2C78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7F9B5DEE">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77EB48B6">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147FC20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7233107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584E8B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02B42D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113178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0B8422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48D677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72515E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56D0B27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2B59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165752B6">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5DABFD6E">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7F6EB49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42" w:type="dxa"/>
            <w:noWrap w:val="0"/>
            <w:vAlign w:val="center"/>
          </w:tcPr>
          <w:p w14:paraId="38BC3F7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3 693 691,00</w:t>
            </w:r>
          </w:p>
        </w:tc>
        <w:tc>
          <w:tcPr>
            <w:tcW w:w="1342" w:type="dxa"/>
            <w:noWrap w:val="0"/>
            <w:vAlign w:val="center"/>
          </w:tcPr>
          <w:p w14:paraId="00F2B88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4 081 101,00</w:t>
            </w:r>
          </w:p>
        </w:tc>
        <w:tc>
          <w:tcPr>
            <w:tcW w:w="1342" w:type="dxa"/>
            <w:noWrap w:val="0"/>
            <w:vAlign w:val="center"/>
          </w:tcPr>
          <w:p w14:paraId="16A42B1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5 767 316,00</w:t>
            </w:r>
          </w:p>
        </w:tc>
        <w:tc>
          <w:tcPr>
            <w:tcW w:w="1342" w:type="dxa"/>
            <w:noWrap w:val="0"/>
            <w:vAlign w:val="center"/>
          </w:tcPr>
          <w:p w14:paraId="44AE40B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5 733 443,00</w:t>
            </w:r>
          </w:p>
        </w:tc>
        <w:tc>
          <w:tcPr>
            <w:tcW w:w="1343" w:type="dxa"/>
            <w:noWrap w:val="0"/>
            <w:vAlign w:val="center"/>
          </w:tcPr>
          <w:p w14:paraId="577D70A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5 019 525,00</w:t>
            </w:r>
          </w:p>
        </w:tc>
        <w:tc>
          <w:tcPr>
            <w:tcW w:w="1343" w:type="dxa"/>
            <w:noWrap w:val="0"/>
            <w:vAlign w:val="center"/>
          </w:tcPr>
          <w:p w14:paraId="22BC693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5 019 531,00</w:t>
            </w:r>
          </w:p>
        </w:tc>
        <w:tc>
          <w:tcPr>
            <w:tcW w:w="1343" w:type="dxa"/>
            <w:noWrap w:val="0"/>
            <w:vAlign w:val="center"/>
          </w:tcPr>
          <w:p w14:paraId="5B1A552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4 519 536,00</w:t>
            </w:r>
          </w:p>
        </w:tc>
        <w:tc>
          <w:tcPr>
            <w:tcW w:w="1349" w:type="dxa"/>
            <w:noWrap w:val="0"/>
            <w:vAlign w:val="center"/>
          </w:tcPr>
          <w:p w14:paraId="4456849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33 834 143,00</w:t>
            </w:r>
          </w:p>
        </w:tc>
      </w:tr>
      <w:tr w14:paraId="26FE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2255702">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3.1</w:t>
            </w:r>
          </w:p>
        </w:tc>
        <w:tc>
          <w:tcPr>
            <w:tcW w:w="2625" w:type="dxa"/>
            <w:vMerge w:val="restart"/>
            <w:shd w:val="clear" w:color="auto" w:fill="auto"/>
            <w:noWrap w:val="0"/>
            <w:vAlign w:val="center"/>
          </w:tcPr>
          <w:p w14:paraId="0130F45C">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Субсидия на поддержку отрасли культуры - комплектование книжных фондов муниципальных общедоступных библиотек</w:t>
            </w:r>
          </w:p>
        </w:tc>
        <w:tc>
          <w:tcPr>
            <w:tcW w:w="1540" w:type="dxa"/>
            <w:shd w:val="clear" w:color="auto" w:fill="FFFFFF"/>
            <w:noWrap w:val="0"/>
            <w:vAlign w:val="center"/>
          </w:tcPr>
          <w:p w14:paraId="2DA2A3F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6CEE45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448,00</w:t>
            </w:r>
          </w:p>
        </w:tc>
        <w:tc>
          <w:tcPr>
            <w:tcW w:w="1342" w:type="dxa"/>
            <w:noWrap w:val="0"/>
            <w:vAlign w:val="center"/>
          </w:tcPr>
          <w:p w14:paraId="73031F7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373,00</w:t>
            </w:r>
          </w:p>
        </w:tc>
        <w:tc>
          <w:tcPr>
            <w:tcW w:w="1342" w:type="dxa"/>
            <w:noWrap w:val="0"/>
            <w:vAlign w:val="center"/>
          </w:tcPr>
          <w:p w14:paraId="678C71B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300,00</w:t>
            </w:r>
          </w:p>
        </w:tc>
        <w:tc>
          <w:tcPr>
            <w:tcW w:w="1342" w:type="dxa"/>
            <w:noWrap w:val="0"/>
            <w:vAlign w:val="center"/>
          </w:tcPr>
          <w:p w14:paraId="67F2C77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313,00</w:t>
            </w:r>
          </w:p>
        </w:tc>
        <w:tc>
          <w:tcPr>
            <w:tcW w:w="1343" w:type="dxa"/>
            <w:noWrap w:val="0"/>
            <w:vAlign w:val="center"/>
          </w:tcPr>
          <w:p w14:paraId="120DF22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281,00</w:t>
            </w:r>
          </w:p>
        </w:tc>
        <w:tc>
          <w:tcPr>
            <w:tcW w:w="1343" w:type="dxa"/>
            <w:noWrap w:val="0"/>
            <w:vAlign w:val="center"/>
          </w:tcPr>
          <w:p w14:paraId="2CDC5EC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287,00</w:t>
            </w:r>
          </w:p>
        </w:tc>
        <w:tc>
          <w:tcPr>
            <w:tcW w:w="1343" w:type="dxa"/>
            <w:noWrap w:val="0"/>
            <w:vAlign w:val="center"/>
          </w:tcPr>
          <w:p w14:paraId="31D8653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292,00</w:t>
            </w:r>
          </w:p>
        </w:tc>
        <w:tc>
          <w:tcPr>
            <w:tcW w:w="1349" w:type="dxa"/>
            <w:noWrap w:val="0"/>
            <w:vAlign w:val="center"/>
          </w:tcPr>
          <w:p w14:paraId="43634E2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2 294,00</w:t>
            </w:r>
          </w:p>
        </w:tc>
      </w:tr>
      <w:tr w14:paraId="6F3B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5906020F">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054A3385">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7076A4A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FCAD03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381F05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436B03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E13450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7F6405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A4BF79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D7C624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73E3D4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5CED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0BD7096B">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2D2D1C94">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5AAA994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42" w:type="dxa"/>
            <w:noWrap w:val="0"/>
            <w:vAlign w:val="center"/>
          </w:tcPr>
          <w:p w14:paraId="04D8526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448,00</w:t>
            </w:r>
          </w:p>
        </w:tc>
        <w:tc>
          <w:tcPr>
            <w:tcW w:w="1342" w:type="dxa"/>
            <w:noWrap w:val="0"/>
            <w:vAlign w:val="center"/>
          </w:tcPr>
          <w:p w14:paraId="0D8F78C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373,00</w:t>
            </w:r>
          </w:p>
        </w:tc>
        <w:tc>
          <w:tcPr>
            <w:tcW w:w="1342" w:type="dxa"/>
            <w:noWrap w:val="0"/>
            <w:vAlign w:val="center"/>
          </w:tcPr>
          <w:p w14:paraId="360268E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300,00</w:t>
            </w:r>
          </w:p>
        </w:tc>
        <w:tc>
          <w:tcPr>
            <w:tcW w:w="1342" w:type="dxa"/>
            <w:noWrap w:val="0"/>
            <w:vAlign w:val="center"/>
          </w:tcPr>
          <w:p w14:paraId="31B4DC9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313,00</w:t>
            </w:r>
          </w:p>
        </w:tc>
        <w:tc>
          <w:tcPr>
            <w:tcW w:w="1343" w:type="dxa"/>
            <w:noWrap w:val="0"/>
            <w:vAlign w:val="center"/>
          </w:tcPr>
          <w:p w14:paraId="69C236B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281,00</w:t>
            </w:r>
          </w:p>
        </w:tc>
        <w:tc>
          <w:tcPr>
            <w:tcW w:w="1343" w:type="dxa"/>
            <w:noWrap w:val="0"/>
            <w:vAlign w:val="center"/>
          </w:tcPr>
          <w:p w14:paraId="5C5B407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287,00</w:t>
            </w:r>
          </w:p>
        </w:tc>
        <w:tc>
          <w:tcPr>
            <w:tcW w:w="1343" w:type="dxa"/>
            <w:noWrap w:val="0"/>
            <w:vAlign w:val="center"/>
          </w:tcPr>
          <w:p w14:paraId="6941A80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292,00</w:t>
            </w:r>
          </w:p>
        </w:tc>
        <w:tc>
          <w:tcPr>
            <w:tcW w:w="1349" w:type="dxa"/>
            <w:noWrap w:val="0"/>
            <w:vAlign w:val="center"/>
          </w:tcPr>
          <w:p w14:paraId="5C78BA7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2 294,00</w:t>
            </w:r>
          </w:p>
        </w:tc>
      </w:tr>
      <w:tr w14:paraId="72D5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BD17766">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3.2</w:t>
            </w:r>
          </w:p>
        </w:tc>
        <w:tc>
          <w:tcPr>
            <w:tcW w:w="2625" w:type="dxa"/>
            <w:vMerge w:val="restart"/>
            <w:shd w:val="clear" w:color="auto" w:fill="auto"/>
            <w:noWrap w:val="0"/>
            <w:vAlign w:val="center"/>
          </w:tcPr>
          <w:p w14:paraId="5E36A9B8">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 xml:space="preserve">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1540" w:type="dxa"/>
            <w:shd w:val="clear" w:color="auto" w:fill="FFFFFF"/>
            <w:noWrap w:val="0"/>
            <w:vAlign w:val="center"/>
          </w:tcPr>
          <w:p w14:paraId="790C9BF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2220BDB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7E02ED6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0380C1C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5C0C6B1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246B899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1119ED0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2F0572F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5B4CF6E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251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42D61C15">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147B7F8C">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7BD2D9A5">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1479864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3DCA3E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6A37A5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11FA81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BB824E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C67D2D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2C2C8C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0BF0790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2B12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62C4DA61">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785278F4">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13B2B61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Лебяжская МЦБС</w:t>
            </w:r>
          </w:p>
        </w:tc>
        <w:tc>
          <w:tcPr>
            <w:tcW w:w="1342" w:type="dxa"/>
            <w:noWrap w:val="0"/>
            <w:vAlign w:val="center"/>
          </w:tcPr>
          <w:p w14:paraId="77B4C49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EC2ECA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3DE58D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1C51D7F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EC1AC5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2B9FA8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83B2D9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17FDDB3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662C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51B9DF09">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4</w:t>
            </w:r>
          </w:p>
        </w:tc>
        <w:tc>
          <w:tcPr>
            <w:tcW w:w="2625" w:type="dxa"/>
            <w:vMerge w:val="restart"/>
            <w:shd w:val="clear" w:color="auto" w:fill="auto"/>
            <w:noWrap w:val="0"/>
            <w:vAlign w:val="center"/>
          </w:tcPr>
          <w:p w14:paraId="6B3E167F">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дополнительного образования детей в детской школе искусств</w:t>
            </w:r>
          </w:p>
        </w:tc>
        <w:tc>
          <w:tcPr>
            <w:tcW w:w="1540" w:type="dxa"/>
            <w:shd w:val="clear" w:color="auto" w:fill="FFFFFF"/>
            <w:noWrap w:val="0"/>
            <w:vAlign w:val="center"/>
          </w:tcPr>
          <w:p w14:paraId="3058380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435FDC4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304 478,00</w:t>
            </w:r>
          </w:p>
        </w:tc>
        <w:tc>
          <w:tcPr>
            <w:tcW w:w="1342" w:type="dxa"/>
            <w:noWrap w:val="0"/>
            <w:vAlign w:val="center"/>
          </w:tcPr>
          <w:p w14:paraId="6DA28A0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657 599,00</w:t>
            </w:r>
          </w:p>
        </w:tc>
        <w:tc>
          <w:tcPr>
            <w:tcW w:w="1342" w:type="dxa"/>
            <w:noWrap w:val="0"/>
            <w:vAlign w:val="center"/>
          </w:tcPr>
          <w:p w14:paraId="4247295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1 586 650,00</w:t>
            </w:r>
          </w:p>
        </w:tc>
        <w:tc>
          <w:tcPr>
            <w:tcW w:w="1342" w:type="dxa"/>
            <w:noWrap w:val="0"/>
            <w:vAlign w:val="center"/>
          </w:tcPr>
          <w:p w14:paraId="3737DF2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1 112 655,00</w:t>
            </w:r>
          </w:p>
        </w:tc>
        <w:tc>
          <w:tcPr>
            <w:tcW w:w="1343" w:type="dxa"/>
            <w:noWrap w:val="0"/>
            <w:vAlign w:val="center"/>
          </w:tcPr>
          <w:p w14:paraId="3450CF9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1 970 700,00</w:t>
            </w:r>
          </w:p>
        </w:tc>
        <w:tc>
          <w:tcPr>
            <w:tcW w:w="1343" w:type="dxa"/>
            <w:noWrap w:val="0"/>
            <w:vAlign w:val="center"/>
          </w:tcPr>
          <w:p w14:paraId="3FF201A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1 470 700,00</w:t>
            </w:r>
          </w:p>
        </w:tc>
        <w:tc>
          <w:tcPr>
            <w:tcW w:w="1343" w:type="dxa"/>
            <w:noWrap w:val="0"/>
            <w:vAlign w:val="center"/>
          </w:tcPr>
          <w:p w14:paraId="2E214AD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1 470 700,00</w:t>
            </w:r>
          </w:p>
        </w:tc>
        <w:tc>
          <w:tcPr>
            <w:tcW w:w="1349" w:type="dxa"/>
            <w:noWrap w:val="0"/>
            <w:vAlign w:val="center"/>
          </w:tcPr>
          <w:p w14:paraId="6A39B7D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8 573 482,00</w:t>
            </w:r>
          </w:p>
        </w:tc>
      </w:tr>
      <w:tr w14:paraId="2359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0A4248D8">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066BE7FB">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386D56D6">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EED8FC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0A2EE1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5AC91D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CDB90E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3DE79E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47CD50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819C5E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7855EEC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649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2369C21E">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5E16DBE1">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6DEE3E4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ОУ ДОД Лебяжская ДШИ</w:t>
            </w:r>
          </w:p>
        </w:tc>
        <w:tc>
          <w:tcPr>
            <w:tcW w:w="1342" w:type="dxa"/>
            <w:noWrap w:val="0"/>
            <w:vAlign w:val="center"/>
          </w:tcPr>
          <w:p w14:paraId="38AEDE6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304 478,00</w:t>
            </w:r>
          </w:p>
        </w:tc>
        <w:tc>
          <w:tcPr>
            <w:tcW w:w="1342" w:type="dxa"/>
            <w:noWrap w:val="0"/>
            <w:vAlign w:val="center"/>
          </w:tcPr>
          <w:p w14:paraId="06F2291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657 599,00</w:t>
            </w:r>
          </w:p>
        </w:tc>
        <w:tc>
          <w:tcPr>
            <w:tcW w:w="1342" w:type="dxa"/>
            <w:noWrap w:val="0"/>
            <w:vAlign w:val="center"/>
          </w:tcPr>
          <w:p w14:paraId="4B95482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1 586 650,00</w:t>
            </w:r>
          </w:p>
        </w:tc>
        <w:tc>
          <w:tcPr>
            <w:tcW w:w="1342" w:type="dxa"/>
            <w:noWrap w:val="0"/>
            <w:vAlign w:val="center"/>
          </w:tcPr>
          <w:p w14:paraId="051AAB6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1 112 655,00</w:t>
            </w:r>
          </w:p>
        </w:tc>
        <w:tc>
          <w:tcPr>
            <w:tcW w:w="1343" w:type="dxa"/>
            <w:noWrap w:val="0"/>
            <w:vAlign w:val="center"/>
          </w:tcPr>
          <w:p w14:paraId="47002D0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1 970 700,00</w:t>
            </w:r>
          </w:p>
        </w:tc>
        <w:tc>
          <w:tcPr>
            <w:tcW w:w="1343" w:type="dxa"/>
            <w:noWrap w:val="0"/>
            <w:vAlign w:val="center"/>
          </w:tcPr>
          <w:p w14:paraId="1951D0E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43" w:type="dxa"/>
            <w:noWrap w:val="0"/>
            <w:vAlign w:val="center"/>
          </w:tcPr>
          <w:p w14:paraId="29447E3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49" w:type="dxa"/>
            <w:noWrap w:val="0"/>
            <w:vAlign w:val="center"/>
          </w:tcPr>
          <w:p w14:paraId="353B718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8 573 482,00</w:t>
            </w:r>
          </w:p>
        </w:tc>
      </w:tr>
      <w:tr w14:paraId="78D4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9F99E87">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5</w:t>
            </w:r>
          </w:p>
        </w:tc>
        <w:tc>
          <w:tcPr>
            <w:tcW w:w="2625" w:type="dxa"/>
            <w:vMerge w:val="restart"/>
            <w:shd w:val="clear" w:color="auto" w:fill="auto"/>
            <w:noWrap w:val="0"/>
            <w:vAlign w:val="center"/>
          </w:tcPr>
          <w:p w14:paraId="31D4479F">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музейного дела в Лебяжском муниципальном округе</w:t>
            </w:r>
          </w:p>
        </w:tc>
        <w:tc>
          <w:tcPr>
            <w:tcW w:w="1540" w:type="dxa"/>
            <w:shd w:val="clear" w:color="auto" w:fill="FFFFFF"/>
            <w:noWrap w:val="0"/>
            <w:vAlign w:val="center"/>
          </w:tcPr>
          <w:p w14:paraId="78C9FF4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12771B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480 314,00</w:t>
            </w:r>
          </w:p>
        </w:tc>
        <w:tc>
          <w:tcPr>
            <w:tcW w:w="1342" w:type="dxa"/>
            <w:noWrap w:val="0"/>
            <w:vAlign w:val="center"/>
          </w:tcPr>
          <w:p w14:paraId="03BC503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648 312,00</w:t>
            </w:r>
          </w:p>
        </w:tc>
        <w:tc>
          <w:tcPr>
            <w:tcW w:w="1342" w:type="dxa"/>
            <w:noWrap w:val="0"/>
            <w:vAlign w:val="center"/>
          </w:tcPr>
          <w:p w14:paraId="3138003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1 234 622,00</w:t>
            </w:r>
          </w:p>
        </w:tc>
        <w:tc>
          <w:tcPr>
            <w:tcW w:w="1342" w:type="dxa"/>
            <w:noWrap w:val="0"/>
            <w:vAlign w:val="center"/>
          </w:tcPr>
          <w:p w14:paraId="14D48C1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1 392 043,00</w:t>
            </w:r>
          </w:p>
        </w:tc>
        <w:tc>
          <w:tcPr>
            <w:tcW w:w="1343" w:type="dxa"/>
            <w:noWrap w:val="0"/>
            <w:vAlign w:val="center"/>
          </w:tcPr>
          <w:p w14:paraId="01D8EA3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1 385 888,00</w:t>
            </w:r>
          </w:p>
        </w:tc>
        <w:tc>
          <w:tcPr>
            <w:tcW w:w="1343" w:type="dxa"/>
            <w:noWrap w:val="0"/>
            <w:vAlign w:val="center"/>
          </w:tcPr>
          <w:p w14:paraId="7054C36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1 385 888,00</w:t>
            </w:r>
          </w:p>
        </w:tc>
        <w:tc>
          <w:tcPr>
            <w:tcW w:w="1343" w:type="dxa"/>
            <w:noWrap w:val="0"/>
            <w:vAlign w:val="center"/>
          </w:tcPr>
          <w:p w14:paraId="1BD049B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1 385 888,00</w:t>
            </w:r>
          </w:p>
        </w:tc>
        <w:tc>
          <w:tcPr>
            <w:tcW w:w="1349" w:type="dxa"/>
            <w:noWrap w:val="0"/>
            <w:vAlign w:val="center"/>
          </w:tcPr>
          <w:p w14:paraId="0475471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7 912 955,00</w:t>
            </w:r>
          </w:p>
        </w:tc>
      </w:tr>
      <w:tr w14:paraId="4A8C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4D862D90">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27328811">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785C1CD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3E3632E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77A5CF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D1FE39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570ACC8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3885AE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5A4778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72D0415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4CB3906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5919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184EADAD">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4B488C89">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11016D5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42" w:type="dxa"/>
            <w:noWrap w:val="0"/>
            <w:vAlign w:val="center"/>
          </w:tcPr>
          <w:p w14:paraId="1D951E0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480 314,00</w:t>
            </w:r>
          </w:p>
        </w:tc>
        <w:tc>
          <w:tcPr>
            <w:tcW w:w="1342" w:type="dxa"/>
            <w:noWrap w:val="0"/>
            <w:vAlign w:val="center"/>
          </w:tcPr>
          <w:p w14:paraId="1990274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648 312,00</w:t>
            </w:r>
          </w:p>
        </w:tc>
        <w:tc>
          <w:tcPr>
            <w:tcW w:w="1342" w:type="dxa"/>
            <w:noWrap w:val="0"/>
            <w:vAlign w:val="center"/>
          </w:tcPr>
          <w:p w14:paraId="0C4B5DD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1234622</w:t>
            </w:r>
          </w:p>
        </w:tc>
        <w:tc>
          <w:tcPr>
            <w:tcW w:w="1342" w:type="dxa"/>
            <w:noWrap w:val="0"/>
            <w:vAlign w:val="center"/>
          </w:tcPr>
          <w:p w14:paraId="40736F1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1 392 043,00</w:t>
            </w:r>
          </w:p>
        </w:tc>
        <w:tc>
          <w:tcPr>
            <w:tcW w:w="1343" w:type="dxa"/>
            <w:noWrap w:val="0"/>
            <w:vAlign w:val="center"/>
          </w:tcPr>
          <w:p w14:paraId="1BE8AAC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3" w:type="dxa"/>
            <w:noWrap w:val="0"/>
            <w:vAlign w:val="center"/>
          </w:tcPr>
          <w:p w14:paraId="2B7BAF5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3" w:type="dxa"/>
            <w:noWrap w:val="0"/>
            <w:vAlign w:val="center"/>
          </w:tcPr>
          <w:p w14:paraId="04E83E1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49" w:type="dxa"/>
            <w:noWrap w:val="0"/>
            <w:vAlign w:val="center"/>
          </w:tcPr>
          <w:p w14:paraId="4014FF2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7 912 955,00</w:t>
            </w:r>
          </w:p>
        </w:tc>
      </w:tr>
      <w:tr w14:paraId="1147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3CA6C30B">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5.1</w:t>
            </w:r>
          </w:p>
        </w:tc>
        <w:tc>
          <w:tcPr>
            <w:tcW w:w="2625" w:type="dxa"/>
            <w:vMerge w:val="restart"/>
            <w:shd w:val="clear" w:color="auto" w:fill="auto"/>
            <w:noWrap w:val="0"/>
            <w:vAlign w:val="center"/>
          </w:tcPr>
          <w:p w14:paraId="5560F689">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Техническое оснащение муниципальных музеев</w:t>
            </w:r>
          </w:p>
        </w:tc>
        <w:tc>
          <w:tcPr>
            <w:tcW w:w="1540" w:type="dxa"/>
            <w:shd w:val="clear" w:color="auto" w:fill="FFFFFF"/>
            <w:noWrap w:val="0"/>
            <w:vAlign w:val="center"/>
          </w:tcPr>
          <w:p w14:paraId="69E466D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1EBD4C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2 100,00</w:t>
            </w:r>
          </w:p>
        </w:tc>
        <w:tc>
          <w:tcPr>
            <w:tcW w:w="1342" w:type="dxa"/>
            <w:noWrap w:val="0"/>
            <w:vAlign w:val="center"/>
          </w:tcPr>
          <w:p w14:paraId="4E9E695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18B44EB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5 500,00</w:t>
            </w:r>
          </w:p>
        </w:tc>
        <w:tc>
          <w:tcPr>
            <w:tcW w:w="1342" w:type="dxa"/>
            <w:noWrap w:val="0"/>
            <w:vAlign w:val="center"/>
          </w:tcPr>
          <w:p w14:paraId="07D9294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4943FA6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63FB906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5BF788B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7988416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7 600,00</w:t>
            </w:r>
          </w:p>
        </w:tc>
      </w:tr>
      <w:tr w14:paraId="5531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3BCDEEC7">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19970E7D">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4AD1221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5E4E90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B1698E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15D3BF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2A7D4D1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08774A1">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09896D5">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1C000CF9">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530A127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01CD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26DC2A84">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3F138AC6">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3870BD5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42" w:type="dxa"/>
            <w:noWrap w:val="0"/>
            <w:vAlign w:val="center"/>
          </w:tcPr>
          <w:p w14:paraId="3539715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2 100,00</w:t>
            </w:r>
          </w:p>
        </w:tc>
        <w:tc>
          <w:tcPr>
            <w:tcW w:w="1342" w:type="dxa"/>
            <w:noWrap w:val="0"/>
            <w:vAlign w:val="center"/>
          </w:tcPr>
          <w:p w14:paraId="4C90695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D93AEB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5500</w:t>
            </w:r>
          </w:p>
        </w:tc>
        <w:tc>
          <w:tcPr>
            <w:tcW w:w="1342" w:type="dxa"/>
            <w:noWrap w:val="0"/>
            <w:vAlign w:val="center"/>
          </w:tcPr>
          <w:p w14:paraId="6180CC3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6C68B1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2A1A98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4F6C5E2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4FF1030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7 600,00</w:t>
            </w:r>
          </w:p>
        </w:tc>
      </w:tr>
      <w:tr w14:paraId="6F7D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6FC012F7">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5.2</w:t>
            </w:r>
          </w:p>
        </w:tc>
        <w:tc>
          <w:tcPr>
            <w:tcW w:w="2625" w:type="dxa"/>
            <w:vMerge w:val="restart"/>
            <w:shd w:val="clear" w:color="auto" w:fill="auto"/>
            <w:noWrap w:val="0"/>
            <w:vAlign w:val="center"/>
          </w:tcPr>
          <w:p w14:paraId="603612F6">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 местным бюджетам из фонда поддержки инициатив населения на реализацию инициатив населения в области культуры - на приобретение мебели для муниципального казённого учреждения Лебяжская "Межпоселенческая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 клубная система" Лебяжского муниципального округа;</w:t>
            </w:r>
          </w:p>
        </w:tc>
        <w:tc>
          <w:tcPr>
            <w:tcW w:w="1540" w:type="dxa"/>
            <w:shd w:val="clear" w:color="auto" w:fill="FFFFFF"/>
            <w:noWrap w:val="0"/>
            <w:vAlign w:val="center"/>
          </w:tcPr>
          <w:p w14:paraId="145B52F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3091F28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3F5482A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567FF58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2" w:type="dxa"/>
            <w:noWrap w:val="0"/>
            <w:vAlign w:val="center"/>
          </w:tcPr>
          <w:p w14:paraId="203F246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76D36DA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3848647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3" w:type="dxa"/>
            <w:noWrap w:val="0"/>
            <w:vAlign w:val="center"/>
          </w:tcPr>
          <w:p w14:paraId="5853223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49" w:type="dxa"/>
            <w:noWrap w:val="0"/>
            <w:vAlign w:val="center"/>
          </w:tcPr>
          <w:p w14:paraId="56DAF91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1E6A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0FCF89DA">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767B387E">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2327EFD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77D3094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E2DCD2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6A676B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E74B4D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60F83F24">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04910D25">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5BD99E81">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3E4972D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0552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54BBF866">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478DA8FE">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325C4AC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 М</w:t>
            </w:r>
            <w:r>
              <w:rPr>
                <w:rFonts w:hint="default" w:ascii="Times New Roman" w:hAnsi="Times New Roman" w:cs="Times New Roman"/>
                <w:i w:val="0"/>
                <w:iCs w:val="0"/>
                <w:color w:val="000000"/>
                <w:kern w:val="0"/>
                <w:sz w:val="18"/>
                <w:szCs w:val="18"/>
                <w:u w:val="none"/>
                <w:lang w:val="ru-RU" w:eastAsia="zh-CN" w:bidi="ar"/>
              </w:rPr>
              <w:t>Б</w:t>
            </w:r>
            <w:r>
              <w:rPr>
                <w:rFonts w:hint="default" w:ascii="Times New Roman" w:hAnsi="Times New Roman" w:eastAsia="SimSun" w:cs="Times New Roman"/>
                <w:i w:val="0"/>
                <w:iCs w:val="0"/>
                <w:color w:val="000000"/>
                <w:kern w:val="0"/>
                <w:sz w:val="18"/>
                <w:szCs w:val="18"/>
                <w:u w:val="none"/>
                <w:lang w:val="en-US" w:eastAsia="zh-CN" w:bidi="ar"/>
              </w:rPr>
              <w:t>У ЛКМ</w:t>
            </w:r>
          </w:p>
        </w:tc>
        <w:tc>
          <w:tcPr>
            <w:tcW w:w="1342" w:type="dxa"/>
            <w:noWrap w:val="0"/>
            <w:vAlign w:val="center"/>
          </w:tcPr>
          <w:p w14:paraId="5A333E1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AD76C9F">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7EBA44C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2E2250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2EC913B">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3" w:type="dxa"/>
            <w:noWrap w:val="0"/>
            <w:vAlign w:val="center"/>
          </w:tcPr>
          <w:p w14:paraId="45E548E2">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3" w:type="dxa"/>
            <w:noWrap w:val="0"/>
            <w:vAlign w:val="center"/>
          </w:tcPr>
          <w:p w14:paraId="6DCC2104">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9" w:type="dxa"/>
            <w:noWrap w:val="0"/>
            <w:vAlign w:val="center"/>
          </w:tcPr>
          <w:p w14:paraId="2050B8E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13DA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1DC726E1">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6</w:t>
            </w:r>
          </w:p>
        </w:tc>
        <w:tc>
          <w:tcPr>
            <w:tcW w:w="2625" w:type="dxa"/>
            <w:vMerge w:val="restart"/>
            <w:shd w:val="clear" w:color="auto" w:fill="auto"/>
            <w:noWrap w:val="0"/>
            <w:vAlign w:val="center"/>
          </w:tcPr>
          <w:p w14:paraId="265A884B">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и ведение бухгалтерского учёта в учреждениях культуры Лебяжского муниципального округа</w:t>
            </w:r>
          </w:p>
        </w:tc>
        <w:tc>
          <w:tcPr>
            <w:tcW w:w="1540" w:type="dxa"/>
            <w:shd w:val="clear" w:color="auto" w:fill="FFFFFF"/>
            <w:noWrap w:val="0"/>
            <w:vAlign w:val="center"/>
          </w:tcPr>
          <w:p w14:paraId="751A9AF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1200D50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1 163 578,00</w:t>
            </w:r>
          </w:p>
        </w:tc>
        <w:tc>
          <w:tcPr>
            <w:tcW w:w="1342" w:type="dxa"/>
            <w:noWrap w:val="0"/>
            <w:vAlign w:val="center"/>
          </w:tcPr>
          <w:p w14:paraId="3ABD71B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1 376 900,00</w:t>
            </w:r>
          </w:p>
        </w:tc>
        <w:tc>
          <w:tcPr>
            <w:tcW w:w="1342" w:type="dxa"/>
            <w:noWrap w:val="0"/>
            <w:vAlign w:val="center"/>
          </w:tcPr>
          <w:p w14:paraId="1459B85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1 632 900,00</w:t>
            </w:r>
          </w:p>
        </w:tc>
        <w:tc>
          <w:tcPr>
            <w:tcW w:w="1342" w:type="dxa"/>
            <w:noWrap w:val="0"/>
            <w:vAlign w:val="center"/>
          </w:tcPr>
          <w:p w14:paraId="0D11390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2 072 600,00</w:t>
            </w:r>
          </w:p>
        </w:tc>
        <w:tc>
          <w:tcPr>
            <w:tcW w:w="1343" w:type="dxa"/>
            <w:noWrap w:val="0"/>
            <w:vAlign w:val="center"/>
          </w:tcPr>
          <w:p w14:paraId="4F05921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43" w:type="dxa"/>
            <w:noWrap w:val="0"/>
            <w:vAlign w:val="center"/>
          </w:tcPr>
          <w:p w14:paraId="43EC936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43" w:type="dxa"/>
            <w:noWrap w:val="0"/>
            <w:vAlign w:val="center"/>
          </w:tcPr>
          <w:p w14:paraId="3C71EE7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49" w:type="dxa"/>
            <w:noWrap w:val="0"/>
            <w:vAlign w:val="center"/>
          </w:tcPr>
          <w:p w14:paraId="1082173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12 544 913,00</w:t>
            </w:r>
          </w:p>
        </w:tc>
      </w:tr>
      <w:tr w14:paraId="1DCE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50C06797">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3E757811">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24BB97D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41DC4AF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1 163 578,00</w:t>
            </w:r>
          </w:p>
        </w:tc>
        <w:tc>
          <w:tcPr>
            <w:tcW w:w="1342" w:type="dxa"/>
            <w:noWrap w:val="0"/>
            <w:vAlign w:val="center"/>
          </w:tcPr>
          <w:p w14:paraId="640B135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1 376 900,00</w:t>
            </w:r>
          </w:p>
        </w:tc>
        <w:tc>
          <w:tcPr>
            <w:tcW w:w="1342" w:type="dxa"/>
            <w:noWrap w:val="0"/>
            <w:vAlign w:val="center"/>
          </w:tcPr>
          <w:p w14:paraId="10D17AF4">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1 632 900,00</w:t>
            </w:r>
          </w:p>
        </w:tc>
        <w:tc>
          <w:tcPr>
            <w:tcW w:w="1342" w:type="dxa"/>
            <w:noWrap w:val="0"/>
            <w:vAlign w:val="center"/>
          </w:tcPr>
          <w:p w14:paraId="218EBC3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2 072 600,00</w:t>
            </w:r>
          </w:p>
        </w:tc>
        <w:tc>
          <w:tcPr>
            <w:tcW w:w="1343" w:type="dxa"/>
            <w:noWrap w:val="0"/>
            <w:vAlign w:val="center"/>
          </w:tcPr>
          <w:p w14:paraId="77FACF0C">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43" w:type="dxa"/>
            <w:noWrap w:val="0"/>
            <w:vAlign w:val="center"/>
          </w:tcPr>
          <w:p w14:paraId="76F5E17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43" w:type="dxa"/>
            <w:noWrap w:val="0"/>
            <w:vAlign w:val="center"/>
          </w:tcPr>
          <w:p w14:paraId="428716B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49" w:type="dxa"/>
            <w:noWrap w:val="0"/>
            <w:vAlign w:val="center"/>
          </w:tcPr>
          <w:p w14:paraId="50BB20E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12 544 913,00</w:t>
            </w:r>
          </w:p>
        </w:tc>
      </w:tr>
      <w:tr w14:paraId="5DF1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2D3E3A25">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690DD8D9">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11D10CD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w:t>
            </w:r>
          </w:p>
        </w:tc>
        <w:tc>
          <w:tcPr>
            <w:tcW w:w="1342" w:type="dxa"/>
            <w:noWrap w:val="0"/>
            <w:vAlign w:val="center"/>
          </w:tcPr>
          <w:p w14:paraId="4306FE8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1C4A270">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0ED7AF9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4492498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2C42E9FD">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DB67B4E">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F6785BA">
            <w:pPr>
              <w:ind w:left="0" w:leftChars="0" w:firstLine="0" w:firstLineChars="0"/>
              <w:jc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9" w:type="dxa"/>
            <w:noWrap w:val="0"/>
            <w:vAlign w:val="center"/>
          </w:tcPr>
          <w:p w14:paraId="714DB57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r w14:paraId="4BCF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shd w:val="clear" w:color="auto" w:fill="auto"/>
            <w:noWrap w:val="0"/>
            <w:vAlign w:val="center"/>
          </w:tcPr>
          <w:p w14:paraId="6CFEDCD8">
            <w:pPr>
              <w:spacing w:line="100" w:lineRule="atLeast"/>
              <w:ind w:left="0" w:leftChars="0" w:firstLine="0" w:firstLineChars="0"/>
              <w:jc w:val="center"/>
              <w:rPr>
                <w:rFonts w:hint="default"/>
                <w:b w:val="0"/>
                <w:bCs/>
                <w:sz w:val="18"/>
                <w:szCs w:val="18"/>
                <w:vertAlign w:val="baseline"/>
                <w:lang w:val="ru-RU"/>
              </w:rPr>
            </w:pPr>
            <w:r>
              <w:rPr>
                <w:rFonts w:hint="default"/>
                <w:b w:val="0"/>
                <w:bCs/>
                <w:sz w:val="18"/>
                <w:szCs w:val="18"/>
                <w:vertAlign w:val="baseline"/>
                <w:lang w:val="ru-RU"/>
              </w:rPr>
              <w:t>7</w:t>
            </w:r>
          </w:p>
        </w:tc>
        <w:tc>
          <w:tcPr>
            <w:tcW w:w="2625" w:type="dxa"/>
            <w:vMerge w:val="restart"/>
            <w:shd w:val="clear" w:color="auto" w:fill="auto"/>
            <w:noWrap w:val="0"/>
            <w:vAlign w:val="center"/>
          </w:tcPr>
          <w:p w14:paraId="7CE5E1B6">
            <w:pPr>
              <w:spacing w:line="100" w:lineRule="atLeast"/>
              <w:ind w:left="0" w:leftChars="0" w:firstLine="0" w:firstLineChars="0"/>
              <w:jc w:val="center"/>
              <w:rPr>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хозяйственного обслуживания учреждений культуры</w:t>
            </w:r>
          </w:p>
        </w:tc>
        <w:tc>
          <w:tcPr>
            <w:tcW w:w="1540" w:type="dxa"/>
            <w:shd w:val="clear" w:color="auto" w:fill="FFFFFF"/>
            <w:noWrap w:val="0"/>
            <w:vAlign w:val="center"/>
          </w:tcPr>
          <w:p w14:paraId="2E8855C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ru-RU"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42" w:type="dxa"/>
            <w:noWrap w:val="0"/>
            <w:vAlign w:val="center"/>
          </w:tcPr>
          <w:p w14:paraId="103D04D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6 554 971,00</w:t>
            </w:r>
          </w:p>
        </w:tc>
        <w:tc>
          <w:tcPr>
            <w:tcW w:w="1342" w:type="dxa"/>
            <w:noWrap w:val="0"/>
            <w:vAlign w:val="center"/>
          </w:tcPr>
          <w:p w14:paraId="774A697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8 798 809,37</w:t>
            </w:r>
          </w:p>
        </w:tc>
        <w:tc>
          <w:tcPr>
            <w:tcW w:w="1342" w:type="dxa"/>
            <w:noWrap w:val="0"/>
            <w:vAlign w:val="center"/>
          </w:tcPr>
          <w:p w14:paraId="097E8DE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3 220 850,00</w:t>
            </w:r>
          </w:p>
        </w:tc>
        <w:tc>
          <w:tcPr>
            <w:tcW w:w="1342" w:type="dxa"/>
            <w:noWrap w:val="0"/>
            <w:vAlign w:val="center"/>
          </w:tcPr>
          <w:p w14:paraId="338D6066">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5 742 000,00</w:t>
            </w:r>
          </w:p>
        </w:tc>
        <w:tc>
          <w:tcPr>
            <w:tcW w:w="1343" w:type="dxa"/>
            <w:noWrap w:val="0"/>
            <w:vAlign w:val="center"/>
          </w:tcPr>
          <w:p w14:paraId="258DF0B9">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3 749 500,00</w:t>
            </w:r>
          </w:p>
        </w:tc>
        <w:tc>
          <w:tcPr>
            <w:tcW w:w="1343" w:type="dxa"/>
            <w:noWrap w:val="0"/>
            <w:vAlign w:val="center"/>
          </w:tcPr>
          <w:p w14:paraId="2F0A4BB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3 749 500,00</w:t>
            </w:r>
          </w:p>
        </w:tc>
        <w:tc>
          <w:tcPr>
            <w:tcW w:w="1343" w:type="dxa"/>
            <w:noWrap w:val="0"/>
            <w:vAlign w:val="center"/>
          </w:tcPr>
          <w:p w14:paraId="73FC295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3 749 500,00</w:t>
            </w:r>
          </w:p>
        </w:tc>
        <w:tc>
          <w:tcPr>
            <w:tcW w:w="1349" w:type="dxa"/>
            <w:noWrap w:val="0"/>
            <w:vAlign w:val="center"/>
          </w:tcPr>
          <w:p w14:paraId="6B3BF06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35 565 130,37</w:t>
            </w:r>
          </w:p>
        </w:tc>
      </w:tr>
      <w:tr w14:paraId="32EA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4D2BAB78">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2547E26F">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466504C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Ответственный исполнитель УКФДМ</w:t>
            </w:r>
          </w:p>
        </w:tc>
        <w:tc>
          <w:tcPr>
            <w:tcW w:w="1342" w:type="dxa"/>
            <w:noWrap w:val="0"/>
            <w:vAlign w:val="center"/>
          </w:tcPr>
          <w:p w14:paraId="0A0A7BC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6 554 971,00</w:t>
            </w:r>
          </w:p>
        </w:tc>
        <w:tc>
          <w:tcPr>
            <w:tcW w:w="1342" w:type="dxa"/>
            <w:noWrap w:val="0"/>
            <w:vAlign w:val="center"/>
          </w:tcPr>
          <w:p w14:paraId="6DC042B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8 798 809,37</w:t>
            </w:r>
          </w:p>
        </w:tc>
        <w:tc>
          <w:tcPr>
            <w:tcW w:w="1342" w:type="dxa"/>
            <w:noWrap w:val="0"/>
            <w:vAlign w:val="center"/>
          </w:tcPr>
          <w:p w14:paraId="2E1E2C9B">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3 220 850,00</w:t>
            </w:r>
          </w:p>
        </w:tc>
        <w:tc>
          <w:tcPr>
            <w:tcW w:w="1342" w:type="dxa"/>
            <w:noWrap w:val="0"/>
            <w:vAlign w:val="center"/>
          </w:tcPr>
          <w:p w14:paraId="44C35883">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5 742 000,00</w:t>
            </w:r>
          </w:p>
        </w:tc>
        <w:tc>
          <w:tcPr>
            <w:tcW w:w="1343" w:type="dxa"/>
            <w:noWrap w:val="0"/>
            <w:vAlign w:val="center"/>
          </w:tcPr>
          <w:p w14:paraId="696467EA">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43" w:type="dxa"/>
            <w:noWrap w:val="0"/>
            <w:vAlign w:val="center"/>
          </w:tcPr>
          <w:p w14:paraId="0CE97F87">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43" w:type="dxa"/>
            <w:noWrap w:val="0"/>
            <w:vAlign w:val="center"/>
          </w:tcPr>
          <w:p w14:paraId="4D5D8502">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49" w:type="dxa"/>
            <w:noWrap w:val="0"/>
            <w:vAlign w:val="center"/>
          </w:tcPr>
          <w:p w14:paraId="2B9E0801">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35 565 130,37</w:t>
            </w:r>
          </w:p>
        </w:tc>
      </w:tr>
      <w:tr w14:paraId="31D8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shd w:val="clear" w:color="auto" w:fill="auto"/>
            <w:noWrap w:val="0"/>
            <w:vAlign w:val="center"/>
          </w:tcPr>
          <w:p w14:paraId="3EFB5F25">
            <w:pPr>
              <w:spacing w:line="100" w:lineRule="atLeast"/>
              <w:ind w:left="0" w:leftChars="0" w:firstLine="0" w:firstLineChars="0"/>
              <w:jc w:val="center"/>
              <w:rPr>
                <w:b w:val="0"/>
                <w:bCs/>
                <w:sz w:val="18"/>
                <w:szCs w:val="18"/>
                <w:vertAlign w:val="baseline"/>
              </w:rPr>
            </w:pPr>
          </w:p>
        </w:tc>
        <w:tc>
          <w:tcPr>
            <w:tcW w:w="2625" w:type="dxa"/>
            <w:vMerge w:val="continue"/>
            <w:shd w:val="clear" w:color="auto" w:fill="auto"/>
            <w:noWrap w:val="0"/>
            <w:vAlign w:val="center"/>
          </w:tcPr>
          <w:p w14:paraId="2FADF2EC">
            <w:pPr>
              <w:spacing w:line="100" w:lineRule="atLeast"/>
              <w:ind w:left="0" w:leftChars="0" w:firstLine="0" w:firstLineChars="0"/>
              <w:jc w:val="center"/>
              <w:rPr>
                <w:b/>
                <w:szCs w:val="28"/>
                <w:vertAlign w:val="baseline"/>
              </w:rPr>
            </w:pPr>
          </w:p>
        </w:tc>
        <w:tc>
          <w:tcPr>
            <w:tcW w:w="1540" w:type="dxa"/>
            <w:shd w:val="clear" w:color="auto" w:fill="FFFFFF"/>
            <w:noWrap w:val="0"/>
            <w:vAlign w:val="center"/>
          </w:tcPr>
          <w:p w14:paraId="025CC5F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ru-RU" w:eastAsia="zh-CN" w:bidi="hi-IN"/>
              </w:rPr>
            </w:pPr>
            <w:r>
              <w:rPr>
                <w:rFonts w:hint="default" w:ascii="Times New Roman" w:hAnsi="Times New Roman" w:eastAsia="SimSun" w:cs="Times New Roman"/>
                <w:i w:val="0"/>
                <w:iCs w:val="0"/>
                <w:color w:val="000000"/>
                <w:kern w:val="0"/>
                <w:sz w:val="18"/>
                <w:szCs w:val="18"/>
                <w:u w:val="none"/>
                <w:lang w:val="en-US" w:eastAsia="zh-CN" w:bidi="ar"/>
              </w:rPr>
              <w:t>Соисполнитель</w:t>
            </w:r>
          </w:p>
        </w:tc>
        <w:tc>
          <w:tcPr>
            <w:tcW w:w="1342" w:type="dxa"/>
            <w:noWrap w:val="0"/>
            <w:vAlign w:val="center"/>
          </w:tcPr>
          <w:p w14:paraId="7417D8B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29E2D65">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3D2EEE7E">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2" w:type="dxa"/>
            <w:noWrap w:val="0"/>
            <w:vAlign w:val="center"/>
          </w:tcPr>
          <w:p w14:paraId="677CF128">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43" w:type="dxa"/>
            <w:noWrap w:val="0"/>
            <w:vAlign w:val="center"/>
          </w:tcPr>
          <w:p w14:paraId="3CE806C6">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3" w:type="dxa"/>
            <w:noWrap w:val="0"/>
            <w:vAlign w:val="center"/>
          </w:tcPr>
          <w:p w14:paraId="147435E1">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3" w:type="dxa"/>
            <w:noWrap w:val="0"/>
            <w:vAlign w:val="center"/>
          </w:tcPr>
          <w:p w14:paraId="4EECC922">
            <w:pPr>
              <w:ind w:left="0" w:leftChars="0" w:firstLine="0" w:firstLineChars="0"/>
              <w:jc w:val="center"/>
              <w:rPr>
                <w:b/>
                <w:sz w:val="18"/>
                <w:szCs w:val="18"/>
                <w:vertAlign w:val="baseline"/>
              </w:rPr>
            </w:pPr>
            <w:r>
              <w:rPr>
                <w:rFonts w:hint="default"/>
                <w:b w:val="0"/>
                <w:bCs/>
                <w:sz w:val="17"/>
                <w:szCs w:val="17"/>
                <w:vertAlign w:val="baseline"/>
                <w:lang w:val="ru-RU"/>
              </w:rPr>
              <w:t>0,00</w:t>
            </w:r>
          </w:p>
        </w:tc>
        <w:tc>
          <w:tcPr>
            <w:tcW w:w="1349" w:type="dxa"/>
            <w:noWrap w:val="0"/>
            <w:vAlign w:val="center"/>
          </w:tcPr>
          <w:p w14:paraId="03E73A2D">
            <w:pPr>
              <w:keepNext w:val="0"/>
              <w:keepLines w:val="0"/>
              <w:widowControl/>
              <w:suppressLineNumbers w:val="0"/>
              <w:ind w:left="0" w:leftChars="0" w:firstLine="0" w:firstLineChars="0"/>
              <w:jc w:val="center"/>
              <w:textAlignment w:val="center"/>
              <w:rPr>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r>
    </w:tbl>
    <w:p w14:paraId="0DBED375">
      <w:pPr>
        <w:spacing w:line="100" w:lineRule="atLeast"/>
        <w:jc w:val="center"/>
        <w:rPr>
          <w:b/>
          <w:szCs w:val="28"/>
        </w:rPr>
      </w:pPr>
    </w:p>
    <w:p w14:paraId="6FA23E5E">
      <w:pPr>
        <w:spacing w:line="100" w:lineRule="atLeast"/>
        <w:jc w:val="center"/>
        <w:rPr>
          <w:b/>
          <w:szCs w:val="28"/>
        </w:rPr>
      </w:pPr>
      <w:r>
        <w:rPr>
          <w:b/>
          <w:sz w:val="20"/>
          <w:szCs w:val="20"/>
        </w:rPr>
        <w:t>__________________</w:t>
      </w:r>
    </w:p>
    <w:p w14:paraId="5C61479D">
      <w:pPr>
        <w:spacing w:line="100" w:lineRule="atLeast"/>
        <w:rPr>
          <w:szCs w:val="28"/>
        </w:rPr>
      </w:pPr>
    </w:p>
    <w:tbl>
      <w:tblPr>
        <w:tblStyle w:val="3"/>
        <w:tblW w:w="0" w:type="auto"/>
        <w:tblInd w:w="9039" w:type="dxa"/>
        <w:tblLayout w:type="autofit"/>
        <w:tblCellMar>
          <w:top w:w="0" w:type="dxa"/>
          <w:left w:w="108" w:type="dxa"/>
          <w:bottom w:w="0" w:type="dxa"/>
          <w:right w:w="108" w:type="dxa"/>
        </w:tblCellMar>
      </w:tblPr>
      <w:tblGrid>
        <w:gridCol w:w="5464"/>
      </w:tblGrid>
      <w:tr w14:paraId="56B971C6">
        <w:tblPrEx>
          <w:tblCellMar>
            <w:top w:w="0" w:type="dxa"/>
            <w:left w:w="108" w:type="dxa"/>
            <w:bottom w:w="0" w:type="dxa"/>
            <w:right w:w="108" w:type="dxa"/>
          </w:tblCellMar>
        </w:tblPrEx>
        <w:tc>
          <w:tcPr>
            <w:tcW w:w="5464" w:type="dxa"/>
            <w:noWrap w:val="0"/>
            <w:vAlign w:val="top"/>
          </w:tcPr>
          <w:p w14:paraId="1FA68CB2">
            <w:pPr>
              <w:spacing w:line="100" w:lineRule="atLeast"/>
              <w:rPr>
                <w:rFonts w:hint="default"/>
                <w:szCs w:val="28"/>
                <w:lang w:val="ru-RU"/>
              </w:rPr>
            </w:pPr>
            <w:r>
              <w:rPr>
                <w:szCs w:val="28"/>
                <w:lang w:val="ru-RU"/>
              </w:rPr>
              <w:t>Приложение</w:t>
            </w:r>
            <w:r>
              <w:rPr>
                <w:rFonts w:hint="default"/>
                <w:szCs w:val="28"/>
                <w:lang w:val="ru-RU"/>
              </w:rPr>
              <w:t xml:space="preserve"> 3</w:t>
            </w:r>
          </w:p>
          <w:p w14:paraId="06EEA5B8">
            <w:pPr>
              <w:spacing w:line="100" w:lineRule="atLeast"/>
              <w:rPr>
                <w:szCs w:val="28"/>
              </w:rPr>
            </w:pPr>
          </w:p>
          <w:p w14:paraId="12246E83">
            <w:pPr>
              <w:spacing w:line="100" w:lineRule="atLeast"/>
              <w:rPr>
                <w:szCs w:val="28"/>
              </w:rPr>
            </w:pPr>
            <w:r>
              <w:rPr>
                <w:szCs w:val="28"/>
              </w:rPr>
              <w:t>Приложение № 3</w:t>
            </w:r>
          </w:p>
          <w:p w14:paraId="05E7EA95">
            <w:pPr>
              <w:spacing w:line="100" w:lineRule="atLeast"/>
              <w:rPr>
                <w:szCs w:val="28"/>
              </w:rPr>
            </w:pPr>
            <w:r>
              <w:rPr>
                <w:szCs w:val="28"/>
              </w:rPr>
              <w:t>к муниципальной программе</w:t>
            </w:r>
          </w:p>
        </w:tc>
      </w:tr>
    </w:tbl>
    <w:p w14:paraId="4C312D4C">
      <w:pPr>
        <w:spacing w:line="100" w:lineRule="atLeast"/>
        <w:rPr>
          <w:szCs w:val="28"/>
        </w:rPr>
      </w:pPr>
    </w:p>
    <w:p w14:paraId="5B788BF8">
      <w:pPr>
        <w:spacing w:line="100" w:lineRule="atLeast"/>
        <w:jc w:val="center"/>
        <w:rPr>
          <w:b/>
          <w:szCs w:val="28"/>
        </w:rPr>
      </w:pPr>
      <w:r>
        <w:rPr>
          <w:b/>
          <w:szCs w:val="28"/>
        </w:rPr>
        <w:t>Прогнозная (справочная) оценка ресурсного обеспечения реализации</w:t>
      </w:r>
    </w:p>
    <w:p w14:paraId="61B75A54">
      <w:pPr>
        <w:spacing w:line="100" w:lineRule="atLeast"/>
        <w:jc w:val="center"/>
        <w:rPr>
          <w:b/>
          <w:szCs w:val="28"/>
        </w:rPr>
      </w:pPr>
      <w:r>
        <w:rPr>
          <w:b/>
          <w:szCs w:val="28"/>
        </w:rPr>
        <w:t>муниципальной программы за счёт всех источников финансирования</w:t>
      </w:r>
    </w:p>
    <w:p w14:paraId="26DA3C57">
      <w:pPr>
        <w:spacing w:line="100" w:lineRule="atLeast"/>
        <w:jc w:val="center"/>
        <w:rPr>
          <w:b/>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
        <w:gridCol w:w="2301"/>
        <w:gridCol w:w="1499"/>
        <w:gridCol w:w="1384"/>
        <w:gridCol w:w="1384"/>
        <w:gridCol w:w="1385"/>
        <w:gridCol w:w="1385"/>
        <w:gridCol w:w="1385"/>
        <w:gridCol w:w="1386"/>
        <w:gridCol w:w="1386"/>
        <w:gridCol w:w="1386"/>
      </w:tblGrid>
      <w:tr w14:paraId="7305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gridSpan w:val="2"/>
            <w:vMerge w:val="restart"/>
            <w:noWrap w:val="0"/>
            <w:vAlign w:val="top"/>
          </w:tcPr>
          <w:p w14:paraId="1EA3DC06">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Наименование муниципальной программы</w:t>
            </w:r>
          </w:p>
        </w:tc>
        <w:tc>
          <w:tcPr>
            <w:tcW w:w="1499" w:type="dxa"/>
            <w:vMerge w:val="restart"/>
            <w:noWrap w:val="0"/>
            <w:vAlign w:val="top"/>
          </w:tcPr>
          <w:p w14:paraId="310DA578">
            <w:pPr>
              <w:spacing w:line="100" w:lineRule="atLeast"/>
              <w:ind w:left="0" w:leftChars="0" w:firstLine="0" w:firstLineChars="0"/>
              <w:jc w:val="center"/>
              <w:rPr>
                <w:rFonts w:hint="default" w:ascii="Times New Roman" w:hAnsi="Times New Roman" w:cs="Times New Roman"/>
                <w:b/>
                <w:szCs w:val="28"/>
                <w:vertAlign w:val="baseline"/>
              </w:rPr>
            </w:pPr>
            <w:r>
              <w:rPr>
                <w:rFonts w:hint="default" w:ascii="Times New Roman" w:hAnsi="Times New Roman" w:eastAsia="SimSun" w:cs="Times New Roman"/>
                <w:i w:val="0"/>
                <w:iCs w:val="0"/>
                <w:color w:val="000000"/>
                <w:kern w:val="0"/>
                <w:sz w:val="18"/>
                <w:szCs w:val="18"/>
                <w:u w:val="none"/>
                <w:lang w:val="en-US" w:eastAsia="zh-CN" w:bidi="ar"/>
              </w:rPr>
              <w:t>Источники финансирования</w:t>
            </w:r>
          </w:p>
        </w:tc>
        <w:tc>
          <w:tcPr>
            <w:tcW w:w="11081" w:type="dxa"/>
            <w:gridSpan w:val="8"/>
            <w:noWrap w:val="0"/>
            <w:vAlign w:val="top"/>
          </w:tcPr>
          <w:p w14:paraId="14BE203D">
            <w:pPr>
              <w:spacing w:line="100" w:lineRule="atLeast"/>
              <w:ind w:left="0" w:leftChars="0" w:firstLine="0" w:firstLineChars="0"/>
              <w:jc w:val="center"/>
              <w:rPr>
                <w:rFonts w:hint="default" w:ascii="Times New Roman" w:hAnsi="Times New Roman" w:cs="Times New Roman"/>
                <w:b w:val="0"/>
                <w:bCs/>
                <w:szCs w:val="28"/>
                <w:vertAlign w:val="baseline"/>
                <w:lang w:val="ru-RU"/>
              </w:rPr>
            </w:pPr>
            <w:r>
              <w:rPr>
                <w:rFonts w:hint="default" w:ascii="Times New Roman" w:hAnsi="Times New Roman" w:cs="Times New Roman"/>
                <w:b w:val="0"/>
                <w:bCs/>
                <w:szCs w:val="28"/>
                <w:vertAlign w:val="baseline"/>
                <w:lang w:val="ru-RU"/>
              </w:rPr>
              <w:t>Расходы всего, рублей</w:t>
            </w:r>
          </w:p>
        </w:tc>
      </w:tr>
      <w:tr w14:paraId="253A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gridSpan w:val="2"/>
            <w:vMerge w:val="continue"/>
            <w:noWrap w:val="0"/>
            <w:vAlign w:val="top"/>
          </w:tcPr>
          <w:p w14:paraId="3EA4151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vMerge w:val="continue"/>
            <w:noWrap w:val="0"/>
            <w:vAlign w:val="top"/>
          </w:tcPr>
          <w:p w14:paraId="0C6663CB">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384" w:type="dxa"/>
            <w:noWrap w:val="0"/>
            <w:vAlign w:val="top"/>
          </w:tcPr>
          <w:p w14:paraId="5AE2D5F9">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2022</w:t>
            </w:r>
          </w:p>
        </w:tc>
        <w:tc>
          <w:tcPr>
            <w:tcW w:w="1384" w:type="dxa"/>
            <w:noWrap w:val="0"/>
            <w:vAlign w:val="top"/>
          </w:tcPr>
          <w:p w14:paraId="77B1F632">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2023</w:t>
            </w:r>
          </w:p>
        </w:tc>
        <w:tc>
          <w:tcPr>
            <w:tcW w:w="1385" w:type="dxa"/>
            <w:noWrap w:val="0"/>
            <w:vAlign w:val="top"/>
          </w:tcPr>
          <w:p w14:paraId="771570DE">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2024</w:t>
            </w:r>
          </w:p>
        </w:tc>
        <w:tc>
          <w:tcPr>
            <w:tcW w:w="1385" w:type="dxa"/>
            <w:noWrap w:val="0"/>
            <w:vAlign w:val="top"/>
          </w:tcPr>
          <w:p w14:paraId="349D82F0">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2025</w:t>
            </w:r>
          </w:p>
        </w:tc>
        <w:tc>
          <w:tcPr>
            <w:tcW w:w="1385" w:type="dxa"/>
            <w:noWrap w:val="0"/>
            <w:vAlign w:val="top"/>
          </w:tcPr>
          <w:p w14:paraId="4F868CA7">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2026</w:t>
            </w:r>
          </w:p>
        </w:tc>
        <w:tc>
          <w:tcPr>
            <w:tcW w:w="1386" w:type="dxa"/>
            <w:noWrap w:val="0"/>
            <w:vAlign w:val="top"/>
          </w:tcPr>
          <w:p w14:paraId="17706858">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2027</w:t>
            </w:r>
          </w:p>
        </w:tc>
        <w:tc>
          <w:tcPr>
            <w:tcW w:w="1386" w:type="dxa"/>
            <w:noWrap w:val="0"/>
            <w:vAlign w:val="top"/>
          </w:tcPr>
          <w:p w14:paraId="18F84A20">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2028</w:t>
            </w:r>
          </w:p>
        </w:tc>
        <w:tc>
          <w:tcPr>
            <w:tcW w:w="1386" w:type="dxa"/>
            <w:noWrap w:val="0"/>
            <w:vAlign w:val="top"/>
          </w:tcPr>
          <w:p w14:paraId="7A869405">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 xml:space="preserve">Итого </w:t>
            </w:r>
          </w:p>
        </w:tc>
      </w:tr>
      <w:tr w14:paraId="6817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773" w:type="dxa"/>
            <w:gridSpan w:val="2"/>
            <w:vMerge w:val="restart"/>
            <w:noWrap w:val="0"/>
            <w:vAlign w:val="center"/>
          </w:tcPr>
          <w:p w14:paraId="18A1622A">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культуры и туризма Лебяжского муниципального округа"</w:t>
            </w:r>
          </w:p>
        </w:tc>
        <w:tc>
          <w:tcPr>
            <w:tcW w:w="1499" w:type="dxa"/>
            <w:noWrap w:val="0"/>
            <w:vAlign w:val="center"/>
          </w:tcPr>
          <w:p w14:paraId="437A190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8"/>
                <w:szCs w:val="18"/>
                <w:highlight w:val="none"/>
                <w:u w:val="none"/>
                <w:lang w:val="en-US" w:eastAsia="zh-CN" w:bidi="ar"/>
              </w:rPr>
              <w:t>ВСЕГО</w:t>
            </w:r>
          </w:p>
        </w:tc>
        <w:tc>
          <w:tcPr>
            <w:tcW w:w="1384" w:type="dxa"/>
            <w:noWrap w:val="0"/>
            <w:vAlign w:val="center"/>
          </w:tcPr>
          <w:p w14:paraId="31D811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35 519 376,00</w:t>
            </w:r>
          </w:p>
        </w:tc>
        <w:tc>
          <w:tcPr>
            <w:tcW w:w="1384" w:type="dxa"/>
            <w:noWrap w:val="0"/>
            <w:vAlign w:val="center"/>
          </w:tcPr>
          <w:p w14:paraId="28A18DD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44 518 802,00</w:t>
            </w:r>
          </w:p>
        </w:tc>
        <w:tc>
          <w:tcPr>
            <w:tcW w:w="1385" w:type="dxa"/>
            <w:noWrap w:val="0"/>
            <w:vAlign w:val="center"/>
          </w:tcPr>
          <w:p w14:paraId="5D4E27C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47 539 148,00</w:t>
            </w:r>
          </w:p>
        </w:tc>
        <w:tc>
          <w:tcPr>
            <w:tcW w:w="1385" w:type="dxa"/>
            <w:noWrap w:val="0"/>
            <w:vAlign w:val="center"/>
          </w:tcPr>
          <w:p w14:paraId="4547BBC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57 299 999,18</w:t>
            </w:r>
          </w:p>
        </w:tc>
        <w:tc>
          <w:tcPr>
            <w:tcW w:w="1385" w:type="dxa"/>
            <w:noWrap w:val="0"/>
            <w:vAlign w:val="center"/>
          </w:tcPr>
          <w:p w14:paraId="15AA007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52 203 445,00</w:t>
            </w:r>
          </w:p>
        </w:tc>
        <w:tc>
          <w:tcPr>
            <w:tcW w:w="1386" w:type="dxa"/>
            <w:noWrap w:val="0"/>
            <w:vAlign w:val="center"/>
          </w:tcPr>
          <w:p w14:paraId="759B87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51 455 551,00</w:t>
            </w:r>
          </w:p>
        </w:tc>
        <w:tc>
          <w:tcPr>
            <w:tcW w:w="1386" w:type="dxa"/>
            <w:noWrap w:val="0"/>
            <w:vAlign w:val="center"/>
          </w:tcPr>
          <w:p w14:paraId="6D7D02C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51 714 656,00</w:t>
            </w:r>
          </w:p>
        </w:tc>
        <w:tc>
          <w:tcPr>
            <w:tcW w:w="1386" w:type="dxa"/>
            <w:noWrap w:val="0"/>
            <w:vAlign w:val="center"/>
          </w:tcPr>
          <w:p w14:paraId="2BE4C49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340 250 977,18</w:t>
            </w:r>
          </w:p>
        </w:tc>
      </w:tr>
      <w:tr w14:paraId="1D71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73" w:type="dxa"/>
            <w:gridSpan w:val="2"/>
            <w:vMerge w:val="continue"/>
            <w:noWrap w:val="0"/>
            <w:vAlign w:val="center"/>
          </w:tcPr>
          <w:p w14:paraId="45E7D407">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0C9B0B3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highlight w:val="none"/>
                <w:u w:val="none"/>
                <w:lang w:val="en-US" w:eastAsia="zh-CN" w:bidi="ar"/>
              </w:rPr>
              <w:t>Федеральный бюджет</w:t>
            </w:r>
          </w:p>
        </w:tc>
        <w:tc>
          <w:tcPr>
            <w:tcW w:w="1384" w:type="dxa"/>
            <w:noWrap w:val="0"/>
            <w:vAlign w:val="center"/>
          </w:tcPr>
          <w:p w14:paraId="07D850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41 641,43</w:t>
            </w:r>
          </w:p>
        </w:tc>
        <w:tc>
          <w:tcPr>
            <w:tcW w:w="1384" w:type="dxa"/>
            <w:noWrap w:val="0"/>
            <w:vAlign w:val="center"/>
          </w:tcPr>
          <w:p w14:paraId="0E72813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34 685,56</w:t>
            </w:r>
          </w:p>
        </w:tc>
        <w:tc>
          <w:tcPr>
            <w:tcW w:w="1385" w:type="dxa"/>
            <w:noWrap w:val="0"/>
            <w:vAlign w:val="center"/>
          </w:tcPr>
          <w:p w14:paraId="641A6B1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567 959,07</w:t>
            </w:r>
          </w:p>
        </w:tc>
        <w:tc>
          <w:tcPr>
            <w:tcW w:w="1385" w:type="dxa"/>
            <w:noWrap w:val="0"/>
            <w:vAlign w:val="center"/>
          </w:tcPr>
          <w:p w14:paraId="47EE4AE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29 140,00</w:t>
            </w:r>
          </w:p>
        </w:tc>
        <w:tc>
          <w:tcPr>
            <w:tcW w:w="1385" w:type="dxa"/>
            <w:noWrap w:val="0"/>
            <w:vAlign w:val="center"/>
          </w:tcPr>
          <w:p w14:paraId="14782E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26 132,00</w:t>
            </w:r>
          </w:p>
        </w:tc>
        <w:tc>
          <w:tcPr>
            <w:tcW w:w="1386" w:type="dxa"/>
            <w:noWrap w:val="0"/>
            <w:vAlign w:val="center"/>
          </w:tcPr>
          <w:p w14:paraId="24C55FD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075EC5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4207C0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699 558,06</w:t>
            </w:r>
          </w:p>
        </w:tc>
      </w:tr>
      <w:tr w14:paraId="0E07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gridSpan w:val="2"/>
            <w:vMerge w:val="continue"/>
            <w:noWrap w:val="0"/>
            <w:vAlign w:val="center"/>
          </w:tcPr>
          <w:p w14:paraId="5BEBB384">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F008ED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highlight w:val="none"/>
                <w:u w:val="none"/>
                <w:lang w:val="en-US" w:eastAsia="zh-CN" w:bidi="ar"/>
              </w:rPr>
              <w:t>Областной бюджет</w:t>
            </w:r>
          </w:p>
        </w:tc>
        <w:tc>
          <w:tcPr>
            <w:tcW w:w="1384" w:type="dxa"/>
            <w:noWrap w:val="0"/>
            <w:vAlign w:val="center"/>
          </w:tcPr>
          <w:p w14:paraId="0F9766B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16 355 426,57</w:t>
            </w:r>
          </w:p>
        </w:tc>
        <w:tc>
          <w:tcPr>
            <w:tcW w:w="1384" w:type="dxa"/>
            <w:noWrap w:val="0"/>
            <w:vAlign w:val="center"/>
          </w:tcPr>
          <w:p w14:paraId="1F4107C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18 454 013,07</w:t>
            </w:r>
          </w:p>
        </w:tc>
        <w:tc>
          <w:tcPr>
            <w:tcW w:w="1385" w:type="dxa"/>
            <w:noWrap w:val="0"/>
            <w:vAlign w:val="center"/>
          </w:tcPr>
          <w:p w14:paraId="72939DC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24 019 594,93</w:t>
            </w:r>
          </w:p>
        </w:tc>
        <w:tc>
          <w:tcPr>
            <w:tcW w:w="1385" w:type="dxa"/>
            <w:noWrap w:val="0"/>
            <w:vAlign w:val="center"/>
          </w:tcPr>
          <w:p w14:paraId="4FA2DFD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26 454 811,18</w:t>
            </w:r>
          </w:p>
        </w:tc>
        <w:tc>
          <w:tcPr>
            <w:tcW w:w="1385" w:type="dxa"/>
            <w:noWrap w:val="0"/>
            <w:vAlign w:val="center"/>
          </w:tcPr>
          <w:p w14:paraId="27BF8BA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27 588 668,00</w:t>
            </w:r>
          </w:p>
        </w:tc>
        <w:tc>
          <w:tcPr>
            <w:tcW w:w="1386" w:type="dxa"/>
            <w:noWrap w:val="0"/>
            <w:vAlign w:val="center"/>
          </w:tcPr>
          <w:p w14:paraId="26F0DDB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27 645 400,00</w:t>
            </w:r>
          </w:p>
        </w:tc>
        <w:tc>
          <w:tcPr>
            <w:tcW w:w="1386" w:type="dxa"/>
            <w:noWrap w:val="0"/>
            <w:vAlign w:val="center"/>
          </w:tcPr>
          <w:p w14:paraId="28E7CB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28 645 900,00</w:t>
            </w:r>
          </w:p>
        </w:tc>
        <w:tc>
          <w:tcPr>
            <w:tcW w:w="1386" w:type="dxa"/>
            <w:noWrap w:val="0"/>
            <w:vAlign w:val="center"/>
          </w:tcPr>
          <w:p w14:paraId="0C013CA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169 163 813,75</w:t>
            </w:r>
          </w:p>
        </w:tc>
      </w:tr>
      <w:tr w14:paraId="4F42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3" w:type="dxa"/>
            <w:gridSpan w:val="2"/>
            <w:vMerge w:val="continue"/>
            <w:noWrap w:val="0"/>
            <w:vAlign w:val="center"/>
          </w:tcPr>
          <w:p w14:paraId="428AD8E4">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003D19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highlight w:val="none"/>
                <w:u w:val="none"/>
                <w:lang w:val="en-US" w:eastAsia="zh-CN" w:bidi="ar"/>
              </w:rPr>
              <w:t>Местный бюджет</w:t>
            </w:r>
          </w:p>
        </w:tc>
        <w:tc>
          <w:tcPr>
            <w:tcW w:w="1384" w:type="dxa"/>
            <w:noWrap w:val="0"/>
            <w:vAlign w:val="center"/>
          </w:tcPr>
          <w:p w14:paraId="4785CE1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19 122 308,00</w:t>
            </w:r>
          </w:p>
        </w:tc>
        <w:tc>
          <w:tcPr>
            <w:tcW w:w="1384" w:type="dxa"/>
            <w:noWrap w:val="0"/>
            <w:vAlign w:val="center"/>
          </w:tcPr>
          <w:p w14:paraId="1AB8D8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26 030 103,37</w:t>
            </w:r>
          </w:p>
        </w:tc>
        <w:tc>
          <w:tcPr>
            <w:tcW w:w="1385" w:type="dxa"/>
            <w:noWrap w:val="0"/>
            <w:vAlign w:val="center"/>
          </w:tcPr>
          <w:p w14:paraId="2B33378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22 951 594,00</w:t>
            </w:r>
          </w:p>
        </w:tc>
        <w:tc>
          <w:tcPr>
            <w:tcW w:w="1385" w:type="dxa"/>
            <w:noWrap w:val="0"/>
            <w:vAlign w:val="center"/>
          </w:tcPr>
          <w:p w14:paraId="1018065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30 816 048,00</w:t>
            </w:r>
          </w:p>
        </w:tc>
        <w:tc>
          <w:tcPr>
            <w:tcW w:w="1385" w:type="dxa"/>
            <w:noWrap w:val="0"/>
            <w:vAlign w:val="center"/>
          </w:tcPr>
          <w:p w14:paraId="1DF8A15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24 588 645,00</w:t>
            </w:r>
          </w:p>
        </w:tc>
        <w:tc>
          <w:tcPr>
            <w:tcW w:w="1386" w:type="dxa"/>
            <w:noWrap w:val="0"/>
            <w:vAlign w:val="center"/>
          </w:tcPr>
          <w:p w14:paraId="58548E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23 810 151,00</w:t>
            </w:r>
          </w:p>
        </w:tc>
        <w:tc>
          <w:tcPr>
            <w:tcW w:w="1386" w:type="dxa"/>
            <w:noWrap w:val="0"/>
            <w:vAlign w:val="center"/>
          </w:tcPr>
          <w:p w14:paraId="428356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23 068 756,00</w:t>
            </w:r>
          </w:p>
        </w:tc>
        <w:tc>
          <w:tcPr>
            <w:tcW w:w="1386" w:type="dxa"/>
            <w:noWrap w:val="0"/>
            <w:vAlign w:val="center"/>
          </w:tcPr>
          <w:p w14:paraId="3B5CD9A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170 387 605,37</w:t>
            </w:r>
          </w:p>
        </w:tc>
      </w:tr>
      <w:tr w14:paraId="00C4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72" w:type="dxa"/>
            <w:vMerge w:val="restart"/>
            <w:noWrap w:val="0"/>
            <w:vAlign w:val="center"/>
          </w:tcPr>
          <w:p w14:paraId="28C1DC2C">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1</w:t>
            </w:r>
          </w:p>
          <w:p w14:paraId="24819E7D">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restart"/>
            <w:noWrap w:val="0"/>
            <w:vAlign w:val="center"/>
          </w:tcPr>
          <w:p w14:paraId="264E01D1">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современного туристического комплекса</w:t>
            </w:r>
          </w:p>
        </w:tc>
        <w:tc>
          <w:tcPr>
            <w:tcW w:w="1499" w:type="dxa"/>
            <w:noWrap w:val="0"/>
            <w:vAlign w:val="center"/>
          </w:tcPr>
          <w:p w14:paraId="13FC28D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016988F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970 698,00</w:t>
            </w:r>
          </w:p>
        </w:tc>
        <w:tc>
          <w:tcPr>
            <w:tcW w:w="1384" w:type="dxa"/>
            <w:noWrap w:val="0"/>
            <w:vAlign w:val="center"/>
          </w:tcPr>
          <w:p w14:paraId="6BCAF05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939 100,00</w:t>
            </w:r>
          </w:p>
        </w:tc>
        <w:tc>
          <w:tcPr>
            <w:tcW w:w="1385" w:type="dxa"/>
            <w:noWrap w:val="0"/>
            <w:vAlign w:val="center"/>
          </w:tcPr>
          <w:p w14:paraId="100266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861 800,00</w:t>
            </w:r>
          </w:p>
        </w:tc>
        <w:tc>
          <w:tcPr>
            <w:tcW w:w="1385" w:type="dxa"/>
            <w:noWrap w:val="0"/>
            <w:vAlign w:val="center"/>
          </w:tcPr>
          <w:p w14:paraId="4E7FFD4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836 200,00</w:t>
            </w:r>
          </w:p>
        </w:tc>
        <w:tc>
          <w:tcPr>
            <w:tcW w:w="1385" w:type="dxa"/>
            <w:noWrap w:val="0"/>
            <w:vAlign w:val="center"/>
          </w:tcPr>
          <w:p w14:paraId="04E30BC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1 026 900,00</w:t>
            </w:r>
          </w:p>
        </w:tc>
        <w:tc>
          <w:tcPr>
            <w:tcW w:w="1386" w:type="dxa"/>
            <w:noWrap w:val="0"/>
            <w:vAlign w:val="center"/>
          </w:tcPr>
          <w:p w14:paraId="03A3676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1 001 900,00</w:t>
            </w:r>
          </w:p>
        </w:tc>
        <w:tc>
          <w:tcPr>
            <w:tcW w:w="1386" w:type="dxa"/>
            <w:noWrap w:val="0"/>
            <w:vAlign w:val="center"/>
          </w:tcPr>
          <w:p w14:paraId="7083BF9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1 001 900,00</w:t>
            </w:r>
          </w:p>
        </w:tc>
        <w:tc>
          <w:tcPr>
            <w:tcW w:w="1386" w:type="dxa"/>
            <w:noWrap w:val="0"/>
            <w:vAlign w:val="center"/>
          </w:tcPr>
          <w:p w14:paraId="474AE5C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6 638 498,00</w:t>
            </w:r>
          </w:p>
        </w:tc>
      </w:tr>
      <w:tr w14:paraId="2C31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2AADD2E0">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21FCE1AB">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70ADA3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5E73DC5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0155E5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B1E92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68A5B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5ED987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DB4316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3CFFB4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1CEABB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487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718DD26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3B40F40">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5150096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237804E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C73BE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F0E46E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C29283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161FE9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EC0BEE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E0ACD3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7949E9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466C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35694D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4FECCF5">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5025A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18C09FF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970 698,00</w:t>
            </w:r>
          </w:p>
        </w:tc>
        <w:tc>
          <w:tcPr>
            <w:tcW w:w="1384" w:type="dxa"/>
            <w:noWrap w:val="0"/>
            <w:vAlign w:val="center"/>
          </w:tcPr>
          <w:p w14:paraId="789BF6B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939 100,00</w:t>
            </w:r>
          </w:p>
        </w:tc>
        <w:tc>
          <w:tcPr>
            <w:tcW w:w="1385" w:type="dxa"/>
            <w:noWrap w:val="0"/>
            <w:vAlign w:val="center"/>
          </w:tcPr>
          <w:p w14:paraId="1D8A6F4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861 800,00</w:t>
            </w:r>
          </w:p>
        </w:tc>
        <w:tc>
          <w:tcPr>
            <w:tcW w:w="1385" w:type="dxa"/>
            <w:noWrap w:val="0"/>
            <w:vAlign w:val="center"/>
          </w:tcPr>
          <w:p w14:paraId="3A5277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836 200,00</w:t>
            </w:r>
          </w:p>
        </w:tc>
        <w:tc>
          <w:tcPr>
            <w:tcW w:w="1385" w:type="dxa"/>
            <w:noWrap w:val="0"/>
            <w:vAlign w:val="center"/>
          </w:tcPr>
          <w:p w14:paraId="6C23B0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1 026 900,00</w:t>
            </w:r>
          </w:p>
        </w:tc>
        <w:tc>
          <w:tcPr>
            <w:tcW w:w="1386" w:type="dxa"/>
            <w:noWrap w:val="0"/>
            <w:vAlign w:val="center"/>
          </w:tcPr>
          <w:p w14:paraId="54087E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1 001 900,00</w:t>
            </w:r>
          </w:p>
        </w:tc>
        <w:tc>
          <w:tcPr>
            <w:tcW w:w="1386" w:type="dxa"/>
            <w:noWrap w:val="0"/>
            <w:vAlign w:val="center"/>
          </w:tcPr>
          <w:p w14:paraId="2A9C7F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1 001 900,00</w:t>
            </w:r>
          </w:p>
        </w:tc>
        <w:tc>
          <w:tcPr>
            <w:tcW w:w="1386" w:type="dxa"/>
            <w:noWrap w:val="0"/>
            <w:vAlign w:val="center"/>
          </w:tcPr>
          <w:p w14:paraId="0C82CB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6 638 498,00</w:t>
            </w:r>
          </w:p>
        </w:tc>
      </w:tr>
      <w:tr w14:paraId="0EB0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7343C871">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w:t>
            </w:r>
          </w:p>
        </w:tc>
        <w:tc>
          <w:tcPr>
            <w:tcW w:w="2301" w:type="dxa"/>
            <w:vMerge w:val="restart"/>
            <w:noWrap w:val="0"/>
            <w:vAlign w:val="center"/>
          </w:tcPr>
          <w:p w14:paraId="3ACB6F04">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Развитие и поддержка культурно-досуговой, концертной деятельности и народного творчества в Лебяжском муниципальном округе</w:t>
            </w:r>
          </w:p>
        </w:tc>
        <w:tc>
          <w:tcPr>
            <w:tcW w:w="1499" w:type="dxa"/>
            <w:noWrap w:val="0"/>
            <w:vAlign w:val="center"/>
          </w:tcPr>
          <w:p w14:paraId="5DC54BE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3446A8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11 961 840,00</w:t>
            </w:r>
          </w:p>
        </w:tc>
        <w:tc>
          <w:tcPr>
            <w:tcW w:w="1384" w:type="dxa"/>
            <w:noWrap w:val="0"/>
            <w:vAlign w:val="center"/>
          </w:tcPr>
          <w:p w14:paraId="01EB7EF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17 682 880,00</w:t>
            </w:r>
          </w:p>
        </w:tc>
        <w:tc>
          <w:tcPr>
            <w:tcW w:w="1385" w:type="dxa"/>
            <w:noWrap w:val="0"/>
            <w:vAlign w:val="center"/>
          </w:tcPr>
          <w:p w14:paraId="273278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16 739 402,00</w:t>
            </w:r>
          </w:p>
        </w:tc>
        <w:tc>
          <w:tcPr>
            <w:tcW w:w="1385" w:type="dxa"/>
            <w:noWrap w:val="0"/>
            <w:vAlign w:val="center"/>
          </w:tcPr>
          <w:p w14:paraId="5D34D5C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23 947 364,00</w:t>
            </w:r>
          </w:p>
        </w:tc>
        <w:tc>
          <w:tcPr>
            <w:tcW w:w="1385" w:type="dxa"/>
            <w:noWrap w:val="0"/>
            <w:vAlign w:val="center"/>
          </w:tcPr>
          <w:p w14:paraId="6A52553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19 016 115,00</w:t>
            </w:r>
          </w:p>
        </w:tc>
        <w:tc>
          <w:tcPr>
            <w:tcW w:w="1386" w:type="dxa"/>
            <w:noWrap w:val="0"/>
            <w:vAlign w:val="center"/>
          </w:tcPr>
          <w:p w14:paraId="12A47AD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18 769 515,00</w:t>
            </w:r>
          </w:p>
        </w:tc>
        <w:tc>
          <w:tcPr>
            <w:tcW w:w="1386" w:type="dxa"/>
            <w:noWrap w:val="0"/>
            <w:vAlign w:val="center"/>
          </w:tcPr>
          <w:p w14:paraId="6950800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19 028 115,00</w:t>
            </w:r>
          </w:p>
        </w:tc>
        <w:tc>
          <w:tcPr>
            <w:tcW w:w="1386" w:type="dxa"/>
            <w:noWrap w:val="0"/>
            <w:vAlign w:val="center"/>
          </w:tcPr>
          <w:p w14:paraId="444637E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127 145 231,00</w:t>
            </w:r>
          </w:p>
        </w:tc>
      </w:tr>
      <w:tr w14:paraId="7D3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EB2D4CC">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0B2F42D">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0D00CA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1CBB3E3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CEEC7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B7466A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8D87FA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3D6D27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78DE9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951C17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25658D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F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dxa"/>
            <w:vMerge w:val="continue"/>
            <w:noWrap w:val="0"/>
            <w:vAlign w:val="center"/>
          </w:tcPr>
          <w:p w14:paraId="5018CF8D">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73065A3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786655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160A7AF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6 007 262,00</w:t>
            </w:r>
          </w:p>
        </w:tc>
        <w:tc>
          <w:tcPr>
            <w:tcW w:w="1384" w:type="dxa"/>
            <w:noWrap w:val="0"/>
            <w:vAlign w:val="center"/>
          </w:tcPr>
          <w:p w14:paraId="40B2D62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8 154 598,00</w:t>
            </w:r>
          </w:p>
        </w:tc>
        <w:tc>
          <w:tcPr>
            <w:tcW w:w="1385" w:type="dxa"/>
            <w:noWrap w:val="0"/>
            <w:vAlign w:val="center"/>
          </w:tcPr>
          <w:p w14:paraId="42B4AD6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8 091 946,00</w:t>
            </w:r>
          </w:p>
        </w:tc>
        <w:tc>
          <w:tcPr>
            <w:tcW w:w="1385" w:type="dxa"/>
            <w:noWrap w:val="0"/>
            <w:vAlign w:val="center"/>
          </w:tcPr>
          <w:p w14:paraId="606C64E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10 020 257,00</w:t>
            </w:r>
          </w:p>
        </w:tc>
        <w:tc>
          <w:tcPr>
            <w:tcW w:w="1385" w:type="dxa"/>
            <w:noWrap w:val="0"/>
            <w:vAlign w:val="center"/>
          </w:tcPr>
          <w:p w14:paraId="0071A7E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9 679 628,00</w:t>
            </w:r>
          </w:p>
        </w:tc>
        <w:tc>
          <w:tcPr>
            <w:tcW w:w="1386" w:type="dxa"/>
            <w:noWrap w:val="0"/>
            <w:vAlign w:val="center"/>
          </w:tcPr>
          <w:p w14:paraId="1459D2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9 686 528,00</w:t>
            </w:r>
          </w:p>
        </w:tc>
        <w:tc>
          <w:tcPr>
            <w:tcW w:w="1386" w:type="dxa"/>
            <w:noWrap w:val="0"/>
            <w:vAlign w:val="center"/>
          </w:tcPr>
          <w:p w14:paraId="43B3FF0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10 186 528,00</w:t>
            </w:r>
          </w:p>
        </w:tc>
        <w:tc>
          <w:tcPr>
            <w:tcW w:w="1386" w:type="dxa"/>
            <w:noWrap w:val="0"/>
            <w:vAlign w:val="center"/>
          </w:tcPr>
          <w:p w14:paraId="06D6716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61 826 747,00</w:t>
            </w:r>
          </w:p>
        </w:tc>
      </w:tr>
      <w:tr w14:paraId="3D08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3548124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7293BEA">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60FDDDA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3F97861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5 954 578,00</w:t>
            </w:r>
          </w:p>
        </w:tc>
        <w:tc>
          <w:tcPr>
            <w:tcW w:w="1384" w:type="dxa"/>
            <w:noWrap w:val="0"/>
            <w:vAlign w:val="center"/>
          </w:tcPr>
          <w:p w14:paraId="4A67FBB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9 528 282,00</w:t>
            </w:r>
          </w:p>
        </w:tc>
        <w:tc>
          <w:tcPr>
            <w:tcW w:w="1385" w:type="dxa"/>
            <w:noWrap w:val="0"/>
            <w:vAlign w:val="center"/>
          </w:tcPr>
          <w:p w14:paraId="6BD5BA2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8 647 456,00</w:t>
            </w:r>
          </w:p>
        </w:tc>
        <w:tc>
          <w:tcPr>
            <w:tcW w:w="1385" w:type="dxa"/>
            <w:noWrap w:val="0"/>
            <w:vAlign w:val="center"/>
          </w:tcPr>
          <w:p w14:paraId="1902951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13 927 107,00</w:t>
            </w:r>
          </w:p>
        </w:tc>
        <w:tc>
          <w:tcPr>
            <w:tcW w:w="1385" w:type="dxa"/>
            <w:noWrap w:val="0"/>
            <w:vAlign w:val="center"/>
          </w:tcPr>
          <w:p w14:paraId="679FF6E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9 336 487,00</w:t>
            </w:r>
          </w:p>
        </w:tc>
        <w:tc>
          <w:tcPr>
            <w:tcW w:w="1386" w:type="dxa"/>
            <w:noWrap w:val="0"/>
            <w:vAlign w:val="center"/>
          </w:tcPr>
          <w:p w14:paraId="19CD877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9 082 987,00</w:t>
            </w:r>
          </w:p>
        </w:tc>
        <w:tc>
          <w:tcPr>
            <w:tcW w:w="1386" w:type="dxa"/>
            <w:noWrap w:val="0"/>
            <w:vAlign w:val="center"/>
          </w:tcPr>
          <w:p w14:paraId="58A906F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8 841 587,00</w:t>
            </w:r>
          </w:p>
        </w:tc>
        <w:tc>
          <w:tcPr>
            <w:tcW w:w="1386" w:type="dxa"/>
            <w:noWrap w:val="0"/>
            <w:vAlign w:val="center"/>
          </w:tcPr>
          <w:p w14:paraId="40F86DC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65 318 484,00</w:t>
            </w:r>
          </w:p>
        </w:tc>
      </w:tr>
      <w:tr w14:paraId="3BCE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2A7B05EE">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2.1</w:t>
            </w:r>
          </w:p>
          <w:p w14:paraId="0B5B1EFE">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restart"/>
            <w:noWrap w:val="0"/>
            <w:vAlign w:val="center"/>
          </w:tcPr>
          <w:p w14:paraId="1533FDC4">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обеспечение учреждений культуры Кировской области специализированным автотранспортом для обслуживания населения, в том числе сельского населения</w:t>
            </w:r>
          </w:p>
        </w:tc>
        <w:tc>
          <w:tcPr>
            <w:tcW w:w="1499" w:type="dxa"/>
            <w:noWrap w:val="0"/>
            <w:vAlign w:val="center"/>
          </w:tcPr>
          <w:p w14:paraId="54A1D3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1C92EA1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62F58BD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2 865 230,00</w:t>
            </w:r>
          </w:p>
        </w:tc>
        <w:tc>
          <w:tcPr>
            <w:tcW w:w="1385" w:type="dxa"/>
            <w:noWrap w:val="0"/>
            <w:vAlign w:val="center"/>
          </w:tcPr>
          <w:p w14:paraId="47F96A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5829304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5DF35B2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0416F6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08C6F8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425D2C1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2 865 230,00</w:t>
            </w:r>
          </w:p>
        </w:tc>
      </w:tr>
      <w:tr w14:paraId="43FA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E2697E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D2E494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E4688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4D33E55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4C0182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7395AB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CEAAE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093385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EB5FAB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F99F65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2B06E9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903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572A3B3">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BF06390">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0E65F83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363D5D7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1BF9E18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B45ABA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E80589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19897E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2C16B5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DE984A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D673F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592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BC2E7C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14114951">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81CA0A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05BB9FB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1F38AAD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2 865 230,00</w:t>
            </w:r>
          </w:p>
        </w:tc>
        <w:tc>
          <w:tcPr>
            <w:tcW w:w="1385" w:type="dxa"/>
            <w:noWrap w:val="0"/>
            <w:vAlign w:val="center"/>
          </w:tcPr>
          <w:p w14:paraId="0B5CBC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74E241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50C98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C3C03C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2999AA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DCDEAE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2 865 230,00</w:t>
            </w:r>
          </w:p>
        </w:tc>
      </w:tr>
      <w:tr w14:paraId="225C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3FC89F54">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2.2</w:t>
            </w:r>
          </w:p>
        </w:tc>
        <w:tc>
          <w:tcPr>
            <w:tcW w:w="2301" w:type="dxa"/>
            <w:vMerge w:val="restart"/>
            <w:noWrap w:val="0"/>
            <w:vAlign w:val="center"/>
          </w:tcPr>
          <w:p w14:paraId="5751F06E">
            <w:pPr>
              <w:spacing w:line="100" w:lineRule="atLeast"/>
              <w:ind w:left="0" w:leftChars="0" w:firstLine="0" w:firstLineChars="0"/>
              <w:jc w:val="center"/>
              <w:rPr>
                <w:rFonts w:hint="default" w:ascii="Times New Roman" w:hAnsi="Times New Roman" w:cs="Times New Roman"/>
                <w:b/>
                <w:sz w:val="18"/>
                <w:szCs w:val="18"/>
                <w:vertAlign w:val="baseli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 xml:space="preserve">"Межпоселенческая централизованная библиотечная система",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Лебяжский краеведческий музей, муниципального </w:t>
            </w:r>
            <w:r>
              <w:rPr>
                <w:rFonts w:hint="default" w:ascii="Times New Roman" w:hAnsi="Times New Roman" w:cs="Times New Roman"/>
                <w:i w:val="0"/>
                <w:iCs w:val="0"/>
                <w:color w:val="000000"/>
                <w:kern w:val="0"/>
                <w:sz w:val="18"/>
                <w:szCs w:val="18"/>
                <w:u w:val="none"/>
                <w:lang w:val="ru-RU" w:eastAsia="zh-CN" w:bidi="ar"/>
              </w:rPr>
              <w:t>казённого</w:t>
            </w:r>
            <w:r>
              <w:rPr>
                <w:rFonts w:hint="default" w:ascii="Times New Roman" w:hAnsi="Times New Roman" w:eastAsia="SimSun" w:cs="Times New Roman"/>
                <w:i w:val="0"/>
                <w:iCs w:val="0"/>
                <w:color w:val="000000"/>
                <w:kern w:val="0"/>
                <w:sz w:val="18"/>
                <w:szCs w:val="18"/>
                <w:u w:val="none"/>
                <w:lang w:val="en-US" w:eastAsia="zh-CN" w:bidi="ar"/>
              </w:rPr>
              <w:t xml:space="preserve">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Лебяжского</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муниципального окру</w:t>
            </w:r>
            <w:r>
              <w:rPr>
                <w:rFonts w:hint="default" w:eastAsia="SimSun" w:cs="Times New Roman"/>
                <w:i w:val="0"/>
                <w:iCs w:val="0"/>
                <w:color w:val="000000"/>
                <w:kern w:val="0"/>
                <w:sz w:val="18"/>
                <w:szCs w:val="18"/>
                <w:u w:val="none"/>
                <w:lang w:val="ru-RU" w:eastAsia="zh-CN" w:bidi="ar"/>
              </w:rPr>
              <w:t>га</w:t>
            </w:r>
          </w:p>
        </w:tc>
        <w:tc>
          <w:tcPr>
            <w:tcW w:w="1499" w:type="dxa"/>
            <w:noWrap w:val="0"/>
            <w:vAlign w:val="center"/>
          </w:tcPr>
          <w:p w14:paraId="6C77FCA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49F359D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13CE3C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20 120,00</w:t>
            </w:r>
          </w:p>
        </w:tc>
        <w:tc>
          <w:tcPr>
            <w:tcW w:w="1385" w:type="dxa"/>
            <w:noWrap w:val="0"/>
            <w:vAlign w:val="center"/>
          </w:tcPr>
          <w:p w14:paraId="0E7B2C0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4A1A28B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1D3B519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1DA00BB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4B426A3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0DEA72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20 120,00</w:t>
            </w:r>
          </w:p>
        </w:tc>
      </w:tr>
      <w:tr w14:paraId="0B7E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EB0561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36D23394">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59465C6">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7A5C018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97BFCE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93011A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757405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B13E0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95DA4B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13B89D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D8D8E1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AE8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02B4D94">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E8C32A7">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715EC5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622C8AF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8E01A1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20 120,00</w:t>
            </w:r>
          </w:p>
        </w:tc>
        <w:tc>
          <w:tcPr>
            <w:tcW w:w="1385" w:type="dxa"/>
            <w:noWrap w:val="0"/>
            <w:vAlign w:val="center"/>
          </w:tcPr>
          <w:p w14:paraId="5F3C5F3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E3E0B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A11D4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01A6A3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8278A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462509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20 120,00</w:t>
            </w:r>
          </w:p>
        </w:tc>
      </w:tr>
      <w:tr w14:paraId="0A28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37A5768">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26455FB">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FAD13F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38EB34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32E2E8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259883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8D76C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3CD650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DF9C65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D0641A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4523DF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4BC7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771D242A">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2.3</w:t>
            </w:r>
          </w:p>
        </w:tc>
        <w:tc>
          <w:tcPr>
            <w:tcW w:w="2301" w:type="dxa"/>
            <w:vMerge w:val="restart"/>
            <w:noWrap w:val="0"/>
            <w:vAlign w:val="center"/>
          </w:tcPr>
          <w:p w14:paraId="59EF7F99">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Приобретение мебели  муниципальному бюджетному учреждению Лебяжская "Централизованная клубная система" Лебяжского муниципального округа Кировской области</w:t>
            </w:r>
          </w:p>
        </w:tc>
        <w:tc>
          <w:tcPr>
            <w:tcW w:w="1499" w:type="dxa"/>
            <w:noWrap w:val="0"/>
            <w:vAlign w:val="center"/>
          </w:tcPr>
          <w:p w14:paraId="3FB1B7C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338D525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2531788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416A74E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79 900,00</w:t>
            </w:r>
          </w:p>
        </w:tc>
        <w:tc>
          <w:tcPr>
            <w:tcW w:w="1385" w:type="dxa"/>
            <w:noWrap w:val="0"/>
            <w:vAlign w:val="center"/>
          </w:tcPr>
          <w:p w14:paraId="0805E3B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30CB6B2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026D98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4997C56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5D1DDD0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79 900,00</w:t>
            </w:r>
          </w:p>
        </w:tc>
      </w:tr>
      <w:tr w14:paraId="29C7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48D0F1E5">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C85370C">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67AA792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3A52077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6D5456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B77263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F28E7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09748D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652A2B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66DEE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FB5EB6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76A1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316BCA5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934B932">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A44C27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32CED77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F68003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65F1C1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79 900,00</w:t>
            </w:r>
          </w:p>
        </w:tc>
        <w:tc>
          <w:tcPr>
            <w:tcW w:w="1385" w:type="dxa"/>
            <w:noWrap w:val="0"/>
            <w:vAlign w:val="center"/>
          </w:tcPr>
          <w:p w14:paraId="4ABE348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ADBE68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8AE54C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94FA3C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F28D58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79 900,00</w:t>
            </w:r>
          </w:p>
        </w:tc>
      </w:tr>
      <w:tr w14:paraId="27B8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7D07B3B1">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7B28033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5D26DF85">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45DFAE7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1AFFEEF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974891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45E6F7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342A4E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8F1EC9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735357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C78470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43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0B6CD526">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2.4</w:t>
            </w:r>
          </w:p>
        </w:tc>
        <w:tc>
          <w:tcPr>
            <w:tcW w:w="2301" w:type="dxa"/>
            <w:vMerge w:val="restart"/>
            <w:noWrap w:val="0"/>
            <w:vAlign w:val="center"/>
          </w:tcPr>
          <w:p w14:paraId="70EB44DA">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Лебяжского Дома культуры</w:t>
            </w:r>
          </w:p>
        </w:tc>
        <w:tc>
          <w:tcPr>
            <w:tcW w:w="1499" w:type="dxa"/>
            <w:noWrap w:val="0"/>
            <w:vAlign w:val="center"/>
          </w:tcPr>
          <w:p w14:paraId="60D04D0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5F47BB5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62B1176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31B7EFB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00CBB1D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0040AD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3308E4C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711E069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0097BA1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E99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FE77BE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1E6E06C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B1DA46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7A487C8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340316E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3C7C1A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FFAB26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358405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E8F05F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BDC685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25181F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66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83C8DB6">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76F018C5">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5203ED6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3AC039F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577475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133911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FFEBCD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A406FB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06CB25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6933EB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2B333B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632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3CEDF208">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BD3F51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19667F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6BBFA3B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40DE60F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DC4BC1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C40A5F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756B99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71D801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6176F7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7F48A7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500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58ED5458">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2.5</w:t>
            </w:r>
          </w:p>
        </w:tc>
        <w:tc>
          <w:tcPr>
            <w:tcW w:w="2301" w:type="dxa"/>
            <w:vMerge w:val="restart"/>
            <w:noWrap w:val="0"/>
            <w:vAlign w:val="center"/>
          </w:tcPr>
          <w:p w14:paraId="73FA7EF8">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Красноярского культурно-спортивного комплекса</w:t>
            </w:r>
          </w:p>
        </w:tc>
        <w:tc>
          <w:tcPr>
            <w:tcW w:w="1499" w:type="dxa"/>
            <w:noWrap w:val="0"/>
            <w:vAlign w:val="center"/>
          </w:tcPr>
          <w:p w14:paraId="042538A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0D0739E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50F0964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69F8A95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2C6B97A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4A44FA3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C2CEC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41C77BA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7A89261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AF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3EDC1D4">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38F74B4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841A18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498242B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6BA9D72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60C49E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2DDDF5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4F0540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066E44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5ADB73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660929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34A9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764AE7B1">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3105D7F9">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C6D76F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71C8DD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64DBC73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2DF6E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D8175D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C1EAFB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9BABE2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2374FA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16A64D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7D27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3BFE47C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13BE53C">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6E27F45">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2FA0700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32AAFB5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954B7C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BAF09A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5C33DB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9C97C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C113EE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440AD6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614E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1F441CD8">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2.6</w:t>
            </w:r>
          </w:p>
        </w:tc>
        <w:tc>
          <w:tcPr>
            <w:tcW w:w="2301" w:type="dxa"/>
            <w:vMerge w:val="restart"/>
            <w:noWrap w:val="0"/>
            <w:vAlign w:val="center"/>
          </w:tcPr>
          <w:p w14:paraId="1A707894">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«Местный Дом культуры» приобретение оборудования на обеспечение развития и укрепления матекриально - технической базы Ветошкинского сельского Дома культуры.</w:t>
            </w:r>
          </w:p>
        </w:tc>
        <w:tc>
          <w:tcPr>
            <w:tcW w:w="1499" w:type="dxa"/>
            <w:noWrap w:val="0"/>
            <w:vAlign w:val="center"/>
          </w:tcPr>
          <w:p w14:paraId="17FE93F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0F34FFD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214A854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3AC18EB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4EE23F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5A57086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048734C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107BDE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35F0085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648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4E060674">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A3D9270">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79C06F4">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5E1C7B3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AB6CFD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A3CC6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0F912F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101B24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DCBD6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DC9E09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C55A49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0945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ECD9480">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328D4DD">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67806CD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11902FB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9CC4DC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B0F822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F9DF87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7489A2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2F5C4C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470E5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B5FD1A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F9D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4A972A83">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1791E23">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EAFEE7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1841529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6829E1E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1FCE8B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0D27B8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4E912A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E7C93B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8A4121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45EB0D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6294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57DE4817">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3</w:t>
            </w:r>
          </w:p>
        </w:tc>
        <w:tc>
          <w:tcPr>
            <w:tcW w:w="2301" w:type="dxa"/>
            <w:vMerge w:val="restart"/>
            <w:noWrap w:val="0"/>
            <w:vAlign w:val="center"/>
          </w:tcPr>
          <w:p w14:paraId="541B70AB">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библиотечно-информационного обслуживания населения Лебяжского муниципального округа</w:t>
            </w:r>
          </w:p>
        </w:tc>
        <w:tc>
          <w:tcPr>
            <w:tcW w:w="1499" w:type="dxa"/>
            <w:noWrap w:val="0"/>
            <w:vAlign w:val="center"/>
          </w:tcPr>
          <w:p w14:paraId="7AEEBD1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59E0C04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8 387 259,00</w:t>
            </w:r>
          </w:p>
        </w:tc>
        <w:tc>
          <w:tcPr>
            <w:tcW w:w="1384" w:type="dxa"/>
            <w:noWrap w:val="0"/>
            <w:vAlign w:val="center"/>
          </w:tcPr>
          <w:p w14:paraId="1A9FA63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9 634 809,00</w:t>
            </w:r>
          </w:p>
        </w:tc>
        <w:tc>
          <w:tcPr>
            <w:tcW w:w="1385" w:type="dxa"/>
            <w:noWrap w:val="0"/>
            <w:vAlign w:val="center"/>
          </w:tcPr>
          <w:p w14:paraId="7391564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11 100 481,00</w:t>
            </w:r>
          </w:p>
        </w:tc>
        <w:tc>
          <w:tcPr>
            <w:tcW w:w="1385" w:type="dxa"/>
            <w:noWrap w:val="0"/>
            <w:vAlign w:val="center"/>
          </w:tcPr>
          <w:p w14:paraId="479F53A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11 154 881,18</w:t>
            </w:r>
          </w:p>
        </w:tc>
        <w:tc>
          <w:tcPr>
            <w:tcW w:w="1385" w:type="dxa"/>
            <w:noWrap w:val="0"/>
            <w:vAlign w:val="center"/>
          </w:tcPr>
          <w:p w14:paraId="7CC538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11 110 065,00</w:t>
            </w:r>
          </w:p>
        </w:tc>
        <w:tc>
          <w:tcPr>
            <w:tcW w:w="1386" w:type="dxa"/>
            <w:noWrap w:val="0"/>
            <w:vAlign w:val="center"/>
          </w:tcPr>
          <w:p w14:paraId="33C72FA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11 110 671,00</w:t>
            </w:r>
          </w:p>
        </w:tc>
        <w:tc>
          <w:tcPr>
            <w:tcW w:w="1386" w:type="dxa"/>
            <w:noWrap w:val="0"/>
            <w:vAlign w:val="center"/>
          </w:tcPr>
          <w:p w14:paraId="707E5A4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11 111 176,00</w:t>
            </w:r>
          </w:p>
        </w:tc>
        <w:tc>
          <w:tcPr>
            <w:tcW w:w="1386" w:type="dxa"/>
            <w:noWrap w:val="0"/>
            <w:vAlign w:val="center"/>
          </w:tcPr>
          <w:p w14:paraId="7027E73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73 609 342,18</w:t>
            </w:r>
          </w:p>
        </w:tc>
      </w:tr>
      <w:tr w14:paraId="4DC4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0A4E167">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3C1AF89">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15B7C9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4148FE7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41 641,43</w:t>
            </w:r>
          </w:p>
        </w:tc>
        <w:tc>
          <w:tcPr>
            <w:tcW w:w="1384" w:type="dxa"/>
            <w:noWrap w:val="0"/>
            <w:vAlign w:val="center"/>
          </w:tcPr>
          <w:p w14:paraId="673AA60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34 685,56</w:t>
            </w:r>
          </w:p>
        </w:tc>
        <w:tc>
          <w:tcPr>
            <w:tcW w:w="1385" w:type="dxa"/>
            <w:noWrap w:val="0"/>
            <w:vAlign w:val="center"/>
          </w:tcPr>
          <w:p w14:paraId="0D53EDB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27 917,00</w:t>
            </w:r>
          </w:p>
        </w:tc>
        <w:tc>
          <w:tcPr>
            <w:tcW w:w="1385" w:type="dxa"/>
            <w:noWrap w:val="0"/>
            <w:vAlign w:val="center"/>
          </w:tcPr>
          <w:p w14:paraId="777D822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29 140,00</w:t>
            </w:r>
          </w:p>
        </w:tc>
        <w:tc>
          <w:tcPr>
            <w:tcW w:w="1385" w:type="dxa"/>
            <w:noWrap w:val="0"/>
            <w:vAlign w:val="center"/>
          </w:tcPr>
          <w:p w14:paraId="7FD0470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26 132,00</w:t>
            </w:r>
          </w:p>
        </w:tc>
        <w:tc>
          <w:tcPr>
            <w:tcW w:w="1386" w:type="dxa"/>
            <w:noWrap w:val="0"/>
            <w:vAlign w:val="center"/>
          </w:tcPr>
          <w:p w14:paraId="5CB9A9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515C7D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42221D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159 515,99</w:t>
            </w:r>
          </w:p>
        </w:tc>
      </w:tr>
      <w:tr w14:paraId="0120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45EA5D48">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2369F1C">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973258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5E06F7C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4 651 926,57</w:t>
            </w:r>
          </w:p>
        </w:tc>
        <w:tc>
          <w:tcPr>
            <w:tcW w:w="1384" w:type="dxa"/>
            <w:noWrap w:val="0"/>
            <w:vAlign w:val="center"/>
          </w:tcPr>
          <w:p w14:paraId="2E17F42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5 519 022,44</w:t>
            </w:r>
          </w:p>
        </w:tc>
        <w:tc>
          <w:tcPr>
            <w:tcW w:w="1385" w:type="dxa"/>
            <w:noWrap w:val="0"/>
            <w:vAlign w:val="center"/>
          </w:tcPr>
          <w:p w14:paraId="6385D29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5 305 248,00</w:t>
            </w:r>
          </w:p>
        </w:tc>
        <w:tc>
          <w:tcPr>
            <w:tcW w:w="1385" w:type="dxa"/>
            <w:noWrap w:val="0"/>
            <w:vAlign w:val="center"/>
          </w:tcPr>
          <w:p w14:paraId="79F5164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5 392 298,18</w:t>
            </w:r>
          </w:p>
        </w:tc>
        <w:tc>
          <w:tcPr>
            <w:tcW w:w="1385" w:type="dxa"/>
            <w:noWrap w:val="0"/>
            <w:vAlign w:val="center"/>
          </w:tcPr>
          <w:p w14:paraId="2F83493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6 064 408,00</w:t>
            </w:r>
          </w:p>
        </w:tc>
        <w:tc>
          <w:tcPr>
            <w:tcW w:w="1386" w:type="dxa"/>
            <w:noWrap w:val="0"/>
            <w:vAlign w:val="center"/>
          </w:tcPr>
          <w:p w14:paraId="4BD03BF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6 091 140,00</w:t>
            </w:r>
          </w:p>
        </w:tc>
        <w:tc>
          <w:tcPr>
            <w:tcW w:w="1386" w:type="dxa"/>
            <w:noWrap w:val="0"/>
            <w:vAlign w:val="center"/>
          </w:tcPr>
          <w:p w14:paraId="3DB61CC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6 591 640,00</w:t>
            </w:r>
          </w:p>
        </w:tc>
        <w:tc>
          <w:tcPr>
            <w:tcW w:w="1386" w:type="dxa"/>
            <w:noWrap w:val="0"/>
            <w:vAlign w:val="center"/>
          </w:tcPr>
          <w:p w14:paraId="6EECCA9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39 615 683,19</w:t>
            </w:r>
          </w:p>
        </w:tc>
      </w:tr>
      <w:tr w14:paraId="004C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1B375C9">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892A113">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19FF27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67B0EF6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3 693 691,00</w:t>
            </w:r>
          </w:p>
        </w:tc>
        <w:tc>
          <w:tcPr>
            <w:tcW w:w="1384" w:type="dxa"/>
            <w:noWrap w:val="0"/>
            <w:vAlign w:val="center"/>
          </w:tcPr>
          <w:p w14:paraId="6C83386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4 081 101,00</w:t>
            </w:r>
          </w:p>
        </w:tc>
        <w:tc>
          <w:tcPr>
            <w:tcW w:w="1385" w:type="dxa"/>
            <w:noWrap w:val="0"/>
            <w:vAlign w:val="center"/>
          </w:tcPr>
          <w:p w14:paraId="6A99009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5 767 316,00</w:t>
            </w:r>
          </w:p>
        </w:tc>
        <w:tc>
          <w:tcPr>
            <w:tcW w:w="1385" w:type="dxa"/>
            <w:noWrap w:val="0"/>
            <w:vAlign w:val="center"/>
          </w:tcPr>
          <w:p w14:paraId="68A1CE3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5 733 443,00</w:t>
            </w:r>
          </w:p>
        </w:tc>
        <w:tc>
          <w:tcPr>
            <w:tcW w:w="1385" w:type="dxa"/>
            <w:noWrap w:val="0"/>
            <w:vAlign w:val="center"/>
          </w:tcPr>
          <w:p w14:paraId="294EBD2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5 019 525,00</w:t>
            </w:r>
          </w:p>
        </w:tc>
        <w:tc>
          <w:tcPr>
            <w:tcW w:w="1386" w:type="dxa"/>
            <w:noWrap w:val="0"/>
            <w:vAlign w:val="center"/>
          </w:tcPr>
          <w:p w14:paraId="774E9A8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5 019 531,00</w:t>
            </w:r>
          </w:p>
        </w:tc>
        <w:tc>
          <w:tcPr>
            <w:tcW w:w="1386" w:type="dxa"/>
            <w:noWrap w:val="0"/>
            <w:vAlign w:val="center"/>
          </w:tcPr>
          <w:p w14:paraId="0A23ED7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4 519 536,00</w:t>
            </w:r>
          </w:p>
        </w:tc>
        <w:tc>
          <w:tcPr>
            <w:tcW w:w="1386" w:type="dxa"/>
            <w:noWrap w:val="0"/>
            <w:vAlign w:val="center"/>
          </w:tcPr>
          <w:p w14:paraId="0576D45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33 834 143,00</w:t>
            </w:r>
          </w:p>
        </w:tc>
      </w:tr>
      <w:tr w14:paraId="5647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0F3E28D8">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3.1</w:t>
            </w:r>
          </w:p>
        </w:tc>
        <w:tc>
          <w:tcPr>
            <w:tcW w:w="2301" w:type="dxa"/>
            <w:vMerge w:val="restart"/>
            <w:noWrap w:val="0"/>
            <w:vAlign w:val="center"/>
          </w:tcPr>
          <w:p w14:paraId="0916A0AB">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Субсидия на поддержку отрасли культуры - комплектование книжных фондов муниципальных общедоступных библиотек</w:t>
            </w:r>
          </w:p>
        </w:tc>
        <w:tc>
          <w:tcPr>
            <w:tcW w:w="1499" w:type="dxa"/>
            <w:noWrap w:val="0"/>
            <w:vAlign w:val="center"/>
          </w:tcPr>
          <w:p w14:paraId="4A172FE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b/>
                <w:bCs/>
                <w:i w:val="0"/>
                <w:iCs w:val="0"/>
                <w:color w:val="000000"/>
                <w:kern w:val="1"/>
                <w:sz w:val="18"/>
                <w:szCs w:val="18"/>
                <w:u w:val="none"/>
                <w:lang w:val="en-US" w:eastAsia="zh-CN" w:bidi="hi-IN"/>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182F8A5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44 748,00</w:t>
            </w:r>
          </w:p>
        </w:tc>
        <w:tc>
          <w:tcPr>
            <w:tcW w:w="1384" w:type="dxa"/>
            <w:noWrap w:val="0"/>
            <w:vAlign w:val="center"/>
          </w:tcPr>
          <w:p w14:paraId="081F4EE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37 273,00</w:t>
            </w:r>
          </w:p>
        </w:tc>
        <w:tc>
          <w:tcPr>
            <w:tcW w:w="1385" w:type="dxa"/>
            <w:noWrap w:val="0"/>
            <w:vAlign w:val="center"/>
          </w:tcPr>
          <w:p w14:paraId="6D920C6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30 000,00</w:t>
            </w:r>
          </w:p>
        </w:tc>
        <w:tc>
          <w:tcPr>
            <w:tcW w:w="1385" w:type="dxa"/>
            <w:noWrap w:val="0"/>
            <w:vAlign w:val="center"/>
          </w:tcPr>
          <w:p w14:paraId="1901099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31 313,00</w:t>
            </w:r>
          </w:p>
        </w:tc>
        <w:tc>
          <w:tcPr>
            <w:tcW w:w="1385" w:type="dxa"/>
            <w:noWrap w:val="0"/>
            <w:vAlign w:val="center"/>
          </w:tcPr>
          <w:p w14:paraId="0C71F0F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28 081,00</w:t>
            </w:r>
          </w:p>
        </w:tc>
        <w:tc>
          <w:tcPr>
            <w:tcW w:w="1386" w:type="dxa"/>
            <w:noWrap w:val="0"/>
            <w:vAlign w:val="center"/>
          </w:tcPr>
          <w:p w14:paraId="41E506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28 687,00</w:t>
            </w:r>
          </w:p>
        </w:tc>
        <w:tc>
          <w:tcPr>
            <w:tcW w:w="1386" w:type="dxa"/>
            <w:noWrap w:val="0"/>
            <w:vAlign w:val="center"/>
          </w:tcPr>
          <w:p w14:paraId="193C57D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29 192,00</w:t>
            </w:r>
          </w:p>
        </w:tc>
        <w:tc>
          <w:tcPr>
            <w:tcW w:w="1386" w:type="dxa"/>
            <w:noWrap w:val="0"/>
            <w:vAlign w:val="center"/>
          </w:tcPr>
          <w:p w14:paraId="2BE27E5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229 294,00</w:t>
            </w:r>
          </w:p>
        </w:tc>
      </w:tr>
      <w:tr w14:paraId="49C2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2719FE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F86E3F9">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E64B354">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en-US" w:eastAsia="zh-CN" w:bidi="hi-IN"/>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6595BB7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41 641,43</w:t>
            </w:r>
          </w:p>
        </w:tc>
        <w:tc>
          <w:tcPr>
            <w:tcW w:w="1384" w:type="dxa"/>
            <w:noWrap w:val="0"/>
            <w:vAlign w:val="center"/>
          </w:tcPr>
          <w:p w14:paraId="3F05CA1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34 685,56</w:t>
            </w:r>
          </w:p>
        </w:tc>
        <w:tc>
          <w:tcPr>
            <w:tcW w:w="1385" w:type="dxa"/>
            <w:noWrap w:val="0"/>
            <w:vAlign w:val="center"/>
          </w:tcPr>
          <w:p w14:paraId="545F632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27 917,00</w:t>
            </w:r>
          </w:p>
        </w:tc>
        <w:tc>
          <w:tcPr>
            <w:tcW w:w="1385" w:type="dxa"/>
            <w:noWrap w:val="0"/>
            <w:vAlign w:val="center"/>
          </w:tcPr>
          <w:p w14:paraId="4F0E8B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29 140,00</w:t>
            </w:r>
          </w:p>
        </w:tc>
        <w:tc>
          <w:tcPr>
            <w:tcW w:w="1385" w:type="dxa"/>
            <w:noWrap w:val="0"/>
            <w:vAlign w:val="center"/>
          </w:tcPr>
          <w:p w14:paraId="422DCAC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26 132,00</w:t>
            </w:r>
          </w:p>
        </w:tc>
        <w:tc>
          <w:tcPr>
            <w:tcW w:w="1386" w:type="dxa"/>
            <w:noWrap w:val="0"/>
            <w:vAlign w:val="center"/>
          </w:tcPr>
          <w:p w14:paraId="4636504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62E1FB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3C00D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159 515,99</w:t>
            </w:r>
          </w:p>
        </w:tc>
      </w:tr>
      <w:tr w14:paraId="3218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74A0EE7F">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2AD74129">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1E8E0A4">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en-US" w:eastAsia="zh-CN" w:bidi="hi-IN"/>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2A8197A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2 658,57</w:t>
            </w:r>
          </w:p>
        </w:tc>
        <w:tc>
          <w:tcPr>
            <w:tcW w:w="1384" w:type="dxa"/>
            <w:noWrap w:val="0"/>
            <w:vAlign w:val="center"/>
          </w:tcPr>
          <w:p w14:paraId="6FE865C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2 214,44</w:t>
            </w:r>
          </w:p>
        </w:tc>
        <w:tc>
          <w:tcPr>
            <w:tcW w:w="1385" w:type="dxa"/>
            <w:noWrap w:val="0"/>
            <w:vAlign w:val="center"/>
          </w:tcPr>
          <w:p w14:paraId="3E76E64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1 783,00</w:t>
            </w:r>
          </w:p>
        </w:tc>
        <w:tc>
          <w:tcPr>
            <w:tcW w:w="1385" w:type="dxa"/>
            <w:noWrap w:val="0"/>
            <w:vAlign w:val="center"/>
          </w:tcPr>
          <w:p w14:paraId="01A55B3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1 860,00</w:t>
            </w:r>
          </w:p>
        </w:tc>
        <w:tc>
          <w:tcPr>
            <w:tcW w:w="1385" w:type="dxa"/>
            <w:noWrap w:val="0"/>
            <w:vAlign w:val="center"/>
          </w:tcPr>
          <w:p w14:paraId="4E4EA2D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1 668,00</w:t>
            </w:r>
          </w:p>
        </w:tc>
        <w:tc>
          <w:tcPr>
            <w:tcW w:w="1386" w:type="dxa"/>
            <w:noWrap w:val="0"/>
            <w:vAlign w:val="center"/>
          </w:tcPr>
          <w:p w14:paraId="56B1157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28 400,00</w:t>
            </w:r>
          </w:p>
        </w:tc>
        <w:tc>
          <w:tcPr>
            <w:tcW w:w="1386" w:type="dxa"/>
            <w:noWrap w:val="0"/>
            <w:vAlign w:val="center"/>
          </w:tcPr>
          <w:p w14:paraId="30CD266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28 900,00</w:t>
            </w:r>
          </w:p>
        </w:tc>
        <w:tc>
          <w:tcPr>
            <w:tcW w:w="1386" w:type="dxa"/>
            <w:noWrap w:val="0"/>
            <w:vAlign w:val="center"/>
          </w:tcPr>
          <w:p w14:paraId="6682C06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67 484,01</w:t>
            </w:r>
          </w:p>
        </w:tc>
      </w:tr>
      <w:tr w14:paraId="21D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20BF8316">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AFDC6A4">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CC883B9">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1"/>
                <w:sz w:val="18"/>
                <w:szCs w:val="18"/>
                <w:u w:val="none"/>
                <w:lang w:val="en-US" w:eastAsia="zh-CN" w:bidi="hi-IN"/>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2248627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448,00</w:t>
            </w:r>
          </w:p>
        </w:tc>
        <w:tc>
          <w:tcPr>
            <w:tcW w:w="1384" w:type="dxa"/>
            <w:noWrap w:val="0"/>
            <w:vAlign w:val="center"/>
          </w:tcPr>
          <w:p w14:paraId="2B09BF3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373,00</w:t>
            </w:r>
          </w:p>
        </w:tc>
        <w:tc>
          <w:tcPr>
            <w:tcW w:w="1385" w:type="dxa"/>
            <w:noWrap w:val="0"/>
            <w:vAlign w:val="center"/>
          </w:tcPr>
          <w:p w14:paraId="30E225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300,00</w:t>
            </w:r>
          </w:p>
        </w:tc>
        <w:tc>
          <w:tcPr>
            <w:tcW w:w="1385" w:type="dxa"/>
            <w:noWrap w:val="0"/>
            <w:vAlign w:val="center"/>
          </w:tcPr>
          <w:p w14:paraId="5C3F2C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313,00</w:t>
            </w:r>
          </w:p>
        </w:tc>
        <w:tc>
          <w:tcPr>
            <w:tcW w:w="1385" w:type="dxa"/>
            <w:noWrap w:val="0"/>
            <w:vAlign w:val="center"/>
          </w:tcPr>
          <w:p w14:paraId="5E6674B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281,00</w:t>
            </w:r>
          </w:p>
        </w:tc>
        <w:tc>
          <w:tcPr>
            <w:tcW w:w="1386" w:type="dxa"/>
            <w:noWrap w:val="0"/>
            <w:vAlign w:val="center"/>
          </w:tcPr>
          <w:p w14:paraId="30A633F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287,00</w:t>
            </w:r>
          </w:p>
        </w:tc>
        <w:tc>
          <w:tcPr>
            <w:tcW w:w="1386" w:type="dxa"/>
            <w:noWrap w:val="0"/>
            <w:vAlign w:val="center"/>
          </w:tcPr>
          <w:p w14:paraId="117FA0C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292,00</w:t>
            </w:r>
          </w:p>
        </w:tc>
        <w:tc>
          <w:tcPr>
            <w:tcW w:w="1386" w:type="dxa"/>
            <w:noWrap w:val="0"/>
            <w:vAlign w:val="center"/>
          </w:tcPr>
          <w:p w14:paraId="14C853F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2 294,00</w:t>
            </w:r>
          </w:p>
        </w:tc>
      </w:tr>
      <w:tr w14:paraId="337A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21A5523C">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3.2</w:t>
            </w:r>
          </w:p>
        </w:tc>
        <w:tc>
          <w:tcPr>
            <w:tcW w:w="2301" w:type="dxa"/>
            <w:vMerge w:val="restart"/>
            <w:noWrap w:val="0"/>
            <w:vAlign w:val="center"/>
          </w:tcPr>
          <w:p w14:paraId="72BFF21C">
            <w:pPr>
              <w:spacing w:line="100" w:lineRule="atLeast"/>
              <w:ind w:left="0" w:leftChars="0" w:firstLine="0" w:firstLineChars="0"/>
              <w:jc w:val="center"/>
              <w:rPr>
                <w:rFonts w:hint="default" w:ascii="Times New Roman" w:hAnsi="Times New Roman" w:cs="Times New Roman"/>
                <w:b/>
                <w:sz w:val="18"/>
                <w:szCs w:val="18"/>
                <w:vertAlign w:val="baseli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w:t>
            </w:r>
            <w:r>
              <w:rPr>
                <w:rFonts w:hint="default" w:eastAsia="SimSun" w:cs="Times New Roman"/>
                <w:i w:val="0"/>
                <w:iCs w:val="0"/>
                <w:color w:val="000000"/>
                <w:kern w:val="0"/>
                <w:sz w:val="18"/>
                <w:szCs w:val="18"/>
                <w:u w:val="none"/>
                <w:lang w:val="ru-RU" w:eastAsia="zh-CN" w:bidi="ar"/>
              </w:rPr>
              <w:t xml:space="preserve"> муниципального округа</w:t>
            </w:r>
          </w:p>
        </w:tc>
        <w:tc>
          <w:tcPr>
            <w:tcW w:w="1499" w:type="dxa"/>
            <w:noWrap w:val="0"/>
            <w:vAlign w:val="center"/>
          </w:tcPr>
          <w:p w14:paraId="44F283F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44AE72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6A066E9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76 250,00</w:t>
            </w:r>
          </w:p>
        </w:tc>
        <w:tc>
          <w:tcPr>
            <w:tcW w:w="1385" w:type="dxa"/>
            <w:noWrap w:val="0"/>
            <w:vAlign w:val="center"/>
          </w:tcPr>
          <w:p w14:paraId="2597E32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646780A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1D1F453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28371DE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4723F3C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452872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76 250,00</w:t>
            </w:r>
          </w:p>
        </w:tc>
      </w:tr>
      <w:tr w14:paraId="6D49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860DBE7">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4B80B53">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F6FE3C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63E6918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EED165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B4F200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24FAC41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FA4D11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69E81C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46B5AA9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75AF36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1DB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DF64D21">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E61B5F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322512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63E9A5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4323CF9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76 250,00</w:t>
            </w:r>
          </w:p>
        </w:tc>
        <w:tc>
          <w:tcPr>
            <w:tcW w:w="1385" w:type="dxa"/>
            <w:noWrap w:val="0"/>
            <w:vAlign w:val="center"/>
          </w:tcPr>
          <w:p w14:paraId="0730916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2DCB0A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F3252F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CCAC3E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0134BA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73A6A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76 250,00</w:t>
            </w:r>
          </w:p>
        </w:tc>
      </w:tr>
      <w:tr w14:paraId="3941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9" w:hRule="atLeast"/>
        </w:trPr>
        <w:tc>
          <w:tcPr>
            <w:tcW w:w="472" w:type="dxa"/>
            <w:vMerge w:val="continue"/>
            <w:noWrap w:val="0"/>
            <w:vAlign w:val="center"/>
          </w:tcPr>
          <w:p w14:paraId="5EA1E7F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2586FF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79D6895">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6209202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482CBDD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DA771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298F33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DC0796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48E22B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560E6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CEA34F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2F77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4A903918">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4</w:t>
            </w:r>
          </w:p>
        </w:tc>
        <w:tc>
          <w:tcPr>
            <w:tcW w:w="2301" w:type="dxa"/>
            <w:vMerge w:val="restart"/>
            <w:noWrap w:val="0"/>
            <w:vAlign w:val="center"/>
          </w:tcPr>
          <w:p w14:paraId="2C241BCA">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дополнительного образования детей в детской школе искусств</w:t>
            </w:r>
          </w:p>
        </w:tc>
        <w:tc>
          <w:tcPr>
            <w:tcW w:w="1499" w:type="dxa"/>
            <w:noWrap w:val="0"/>
            <w:vAlign w:val="center"/>
          </w:tcPr>
          <w:p w14:paraId="5CE77806">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7BFFC83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2 867 121,00</w:t>
            </w:r>
          </w:p>
        </w:tc>
        <w:tc>
          <w:tcPr>
            <w:tcW w:w="1384" w:type="dxa"/>
            <w:noWrap w:val="0"/>
            <w:vAlign w:val="center"/>
          </w:tcPr>
          <w:p w14:paraId="31CE13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2 917 299,00</w:t>
            </w:r>
          </w:p>
        </w:tc>
        <w:tc>
          <w:tcPr>
            <w:tcW w:w="1385" w:type="dxa"/>
            <w:noWrap w:val="0"/>
            <w:vAlign w:val="center"/>
          </w:tcPr>
          <w:p w14:paraId="0E88248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3 120 415,00</w:t>
            </w:r>
          </w:p>
        </w:tc>
        <w:tc>
          <w:tcPr>
            <w:tcW w:w="1385" w:type="dxa"/>
            <w:noWrap w:val="0"/>
            <w:vAlign w:val="center"/>
          </w:tcPr>
          <w:p w14:paraId="281E8AE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3 434 049,00</w:t>
            </w:r>
          </w:p>
        </w:tc>
        <w:tc>
          <w:tcPr>
            <w:tcW w:w="1385" w:type="dxa"/>
            <w:noWrap w:val="0"/>
            <w:vAlign w:val="center"/>
          </w:tcPr>
          <w:p w14:paraId="5F1B6E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3 698 700,00</w:t>
            </w:r>
          </w:p>
        </w:tc>
        <w:tc>
          <w:tcPr>
            <w:tcW w:w="1386" w:type="dxa"/>
            <w:noWrap w:val="0"/>
            <w:vAlign w:val="center"/>
          </w:tcPr>
          <w:p w14:paraId="77ABA98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3 221 800,00</w:t>
            </w:r>
          </w:p>
        </w:tc>
        <w:tc>
          <w:tcPr>
            <w:tcW w:w="1386" w:type="dxa"/>
            <w:noWrap w:val="0"/>
            <w:vAlign w:val="center"/>
          </w:tcPr>
          <w:p w14:paraId="7207FB8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3 221 800,00</w:t>
            </w:r>
          </w:p>
        </w:tc>
        <w:tc>
          <w:tcPr>
            <w:tcW w:w="1386" w:type="dxa"/>
            <w:noWrap w:val="0"/>
            <w:vAlign w:val="center"/>
          </w:tcPr>
          <w:p w14:paraId="775EF46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22 481 184,00</w:t>
            </w:r>
          </w:p>
        </w:tc>
      </w:tr>
      <w:tr w14:paraId="7333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1CDA5C5">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B724CD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01682C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117CD2B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4420FB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D6F255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1E3F52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236E84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B67511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6F8F3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19894F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5C9E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86AE79E">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5306B45">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6F27606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0E86982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2 562 643,00</w:t>
            </w:r>
          </w:p>
        </w:tc>
        <w:tc>
          <w:tcPr>
            <w:tcW w:w="1384" w:type="dxa"/>
            <w:noWrap w:val="0"/>
            <w:vAlign w:val="center"/>
          </w:tcPr>
          <w:p w14:paraId="0318ACA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2 259 700,00</w:t>
            </w:r>
          </w:p>
        </w:tc>
        <w:tc>
          <w:tcPr>
            <w:tcW w:w="1385" w:type="dxa"/>
            <w:noWrap w:val="0"/>
            <w:vAlign w:val="center"/>
          </w:tcPr>
          <w:p w14:paraId="19D342D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1 533 765,00</w:t>
            </w:r>
          </w:p>
        </w:tc>
        <w:tc>
          <w:tcPr>
            <w:tcW w:w="1385" w:type="dxa"/>
            <w:noWrap w:val="0"/>
            <w:vAlign w:val="center"/>
          </w:tcPr>
          <w:p w14:paraId="188C809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2 321 394,00</w:t>
            </w:r>
          </w:p>
        </w:tc>
        <w:tc>
          <w:tcPr>
            <w:tcW w:w="1385" w:type="dxa"/>
            <w:noWrap w:val="0"/>
            <w:vAlign w:val="center"/>
          </w:tcPr>
          <w:p w14:paraId="3E876C4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1 728 000,00</w:t>
            </w:r>
          </w:p>
        </w:tc>
        <w:tc>
          <w:tcPr>
            <w:tcW w:w="1386" w:type="dxa"/>
            <w:noWrap w:val="0"/>
            <w:vAlign w:val="center"/>
          </w:tcPr>
          <w:p w14:paraId="1F1AFFA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1 751 100,00</w:t>
            </w:r>
          </w:p>
        </w:tc>
        <w:tc>
          <w:tcPr>
            <w:tcW w:w="1386" w:type="dxa"/>
            <w:noWrap w:val="0"/>
            <w:vAlign w:val="center"/>
          </w:tcPr>
          <w:p w14:paraId="10156BF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1 751 100,00</w:t>
            </w:r>
          </w:p>
        </w:tc>
        <w:tc>
          <w:tcPr>
            <w:tcW w:w="1386" w:type="dxa"/>
            <w:noWrap w:val="0"/>
            <w:vAlign w:val="center"/>
          </w:tcPr>
          <w:p w14:paraId="5344F0C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13 907 702,00</w:t>
            </w:r>
          </w:p>
        </w:tc>
      </w:tr>
      <w:tr w14:paraId="6076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59748A8">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1475AA2C">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F2F36EC">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0C19B0D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304 478,00</w:t>
            </w:r>
          </w:p>
        </w:tc>
        <w:tc>
          <w:tcPr>
            <w:tcW w:w="1384" w:type="dxa"/>
            <w:noWrap w:val="0"/>
            <w:vAlign w:val="center"/>
          </w:tcPr>
          <w:p w14:paraId="28BAC43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657 599,00</w:t>
            </w:r>
          </w:p>
        </w:tc>
        <w:tc>
          <w:tcPr>
            <w:tcW w:w="1385" w:type="dxa"/>
            <w:noWrap w:val="0"/>
            <w:vAlign w:val="center"/>
          </w:tcPr>
          <w:p w14:paraId="6EAD0A7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1 586 650,00</w:t>
            </w:r>
          </w:p>
        </w:tc>
        <w:tc>
          <w:tcPr>
            <w:tcW w:w="1385" w:type="dxa"/>
            <w:noWrap w:val="0"/>
            <w:vAlign w:val="center"/>
          </w:tcPr>
          <w:p w14:paraId="39432A3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1 112 655,00</w:t>
            </w:r>
          </w:p>
        </w:tc>
        <w:tc>
          <w:tcPr>
            <w:tcW w:w="1385" w:type="dxa"/>
            <w:noWrap w:val="0"/>
            <w:vAlign w:val="center"/>
          </w:tcPr>
          <w:p w14:paraId="20F3D1D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1 970 700,00</w:t>
            </w:r>
          </w:p>
        </w:tc>
        <w:tc>
          <w:tcPr>
            <w:tcW w:w="1386" w:type="dxa"/>
            <w:noWrap w:val="0"/>
            <w:vAlign w:val="center"/>
          </w:tcPr>
          <w:p w14:paraId="614858E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86" w:type="dxa"/>
            <w:noWrap w:val="0"/>
            <w:vAlign w:val="center"/>
          </w:tcPr>
          <w:p w14:paraId="2141F93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1 470 700,00</w:t>
            </w:r>
          </w:p>
        </w:tc>
        <w:tc>
          <w:tcPr>
            <w:tcW w:w="1386" w:type="dxa"/>
            <w:noWrap w:val="0"/>
            <w:vAlign w:val="center"/>
          </w:tcPr>
          <w:p w14:paraId="681984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8 573 482,00</w:t>
            </w:r>
          </w:p>
        </w:tc>
      </w:tr>
      <w:tr w14:paraId="523C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2AD3E584">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5</w:t>
            </w:r>
          </w:p>
        </w:tc>
        <w:tc>
          <w:tcPr>
            <w:tcW w:w="2301" w:type="dxa"/>
            <w:vMerge w:val="restart"/>
            <w:noWrap w:val="0"/>
            <w:vAlign w:val="center"/>
          </w:tcPr>
          <w:p w14:paraId="2ABCA23E">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музейного дела в Лебяжском муниципальном округе</w:t>
            </w:r>
          </w:p>
        </w:tc>
        <w:tc>
          <w:tcPr>
            <w:tcW w:w="1499" w:type="dxa"/>
            <w:noWrap w:val="0"/>
            <w:vAlign w:val="center"/>
          </w:tcPr>
          <w:p w14:paraId="5C8138A5">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1A4C948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1 544 409,00</w:t>
            </w:r>
          </w:p>
        </w:tc>
        <w:tc>
          <w:tcPr>
            <w:tcW w:w="1384" w:type="dxa"/>
            <w:noWrap w:val="0"/>
            <w:vAlign w:val="center"/>
          </w:tcPr>
          <w:p w14:paraId="418CEC5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1 843 314,00</w:t>
            </w:r>
          </w:p>
        </w:tc>
        <w:tc>
          <w:tcPr>
            <w:tcW w:w="1385" w:type="dxa"/>
            <w:noWrap w:val="0"/>
            <w:vAlign w:val="center"/>
          </w:tcPr>
          <w:p w14:paraId="41D2373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2 823 550,00</w:t>
            </w:r>
          </w:p>
        </w:tc>
        <w:tc>
          <w:tcPr>
            <w:tcW w:w="1385" w:type="dxa"/>
            <w:noWrap w:val="0"/>
            <w:vAlign w:val="center"/>
          </w:tcPr>
          <w:p w14:paraId="5EF16D3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2 533 305,00</w:t>
            </w:r>
          </w:p>
        </w:tc>
        <w:tc>
          <w:tcPr>
            <w:tcW w:w="1385" w:type="dxa"/>
            <w:noWrap w:val="0"/>
            <w:vAlign w:val="center"/>
          </w:tcPr>
          <w:p w14:paraId="1E48AEC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2 428 520,00</w:t>
            </w:r>
          </w:p>
        </w:tc>
        <w:tc>
          <w:tcPr>
            <w:tcW w:w="1386" w:type="dxa"/>
            <w:noWrap w:val="0"/>
            <w:vAlign w:val="center"/>
          </w:tcPr>
          <w:p w14:paraId="1D57259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2 428 520,00</w:t>
            </w:r>
          </w:p>
        </w:tc>
        <w:tc>
          <w:tcPr>
            <w:tcW w:w="1386" w:type="dxa"/>
            <w:noWrap w:val="0"/>
            <w:vAlign w:val="center"/>
          </w:tcPr>
          <w:p w14:paraId="56447A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2 428 520,00</w:t>
            </w:r>
          </w:p>
        </w:tc>
        <w:tc>
          <w:tcPr>
            <w:tcW w:w="1386" w:type="dxa"/>
            <w:noWrap w:val="0"/>
            <w:vAlign w:val="center"/>
          </w:tcPr>
          <w:p w14:paraId="1166ED0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16 030 138,00</w:t>
            </w:r>
          </w:p>
        </w:tc>
      </w:tr>
      <w:tr w14:paraId="384C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CB0214D">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7051DF4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49F86F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4BD3C52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DFCF1D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7D4E4D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540042,07</w:t>
            </w:r>
          </w:p>
        </w:tc>
        <w:tc>
          <w:tcPr>
            <w:tcW w:w="1385" w:type="dxa"/>
            <w:noWrap w:val="0"/>
            <w:vAlign w:val="center"/>
          </w:tcPr>
          <w:p w14:paraId="4E441B8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B1474F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009E6F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E9554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0BEAE6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540 042,07</w:t>
            </w:r>
          </w:p>
        </w:tc>
      </w:tr>
      <w:tr w14:paraId="0642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22753B85">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5852B45D">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05B253F">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696384D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1 064 095,00</w:t>
            </w:r>
          </w:p>
        </w:tc>
        <w:tc>
          <w:tcPr>
            <w:tcW w:w="1384" w:type="dxa"/>
            <w:noWrap w:val="0"/>
            <w:vAlign w:val="center"/>
          </w:tcPr>
          <w:p w14:paraId="70A2E2A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1 195 002,00</w:t>
            </w:r>
          </w:p>
        </w:tc>
        <w:tc>
          <w:tcPr>
            <w:tcW w:w="1385" w:type="dxa"/>
            <w:noWrap w:val="0"/>
            <w:vAlign w:val="center"/>
          </w:tcPr>
          <w:p w14:paraId="645BBAC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1048885,93</w:t>
            </w:r>
          </w:p>
        </w:tc>
        <w:tc>
          <w:tcPr>
            <w:tcW w:w="1385" w:type="dxa"/>
            <w:noWrap w:val="0"/>
            <w:vAlign w:val="center"/>
          </w:tcPr>
          <w:p w14:paraId="716C21A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1 141 262,00</w:t>
            </w:r>
          </w:p>
        </w:tc>
        <w:tc>
          <w:tcPr>
            <w:tcW w:w="1385" w:type="dxa"/>
            <w:noWrap w:val="0"/>
            <w:vAlign w:val="center"/>
          </w:tcPr>
          <w:p w14:paraId="1D48F96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1 042 632,00</w:t>
            </w:r>
          </w:p>
        </w:tc>
        <w:tc>
          <w:tcPr>
            <w:tcW w:w="1386" w:type="dxa"/>
            <w:noWrap w:val="0"/>
            <w:vAlign w:val="center"/>
          </w:tcPr>
          <w:p w14:paraId="5529E8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1 042 632,00</w:t>
            </w:r>
          </w:p>
        </w:tc>
        <w:tc>
          <w:tcPr>
            <w:tcW w:w="1386" w:type="dxa"/>
            <w:noWrap w:val="0"/>
            <w:vAlign w:val="center"/>
          </w:tcPr>
          <w:p w14:paraId="13F6BA3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1 042 632,00</w:t>
            </w:r>
          </w:p>
        </w:tc>
        <w:tc>
          <w:tcPr>
            <w:tcW w:w="1386" w:type="dxa"/>
            <w:noWrap w:val="0"/>
            <w:vAlign w:val="center"/>
          </w:tcPr>
          <w:p w14:paraId="027EC09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7 577 140,93</w:t>
            </w:r>
          </w:p>
        </w:tc>
      </w:tr>
      <w:tr w14:paraId="344C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2DA43D5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27F29E65">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ED308C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1B9C6E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480 314,00</w:t>
            </w:r>
          </w:p>
        </w:tc>
        <w:tc>
          <w:tcPr>
            <w:tcW w:w="1384" w:type="dxa"/>
            <w:noWrap w:val="0"/>
            <w:vAlign w:val="center"/>
          </w:tcPr>
          <w:p w14:paraId="643048A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648 312,00</w:t>
            </w:r>
          </w:p>
        </w:tc>
        <w:tc>
          <w:tcPr>
            <w:tcW w:w="1385" w:type="dxa"/>
            <w:noWrap w:val="0"/>
            <w:vAlign w:val="center"/>
          </w:tcPr>
          <w:p w14:paraId="2D0C89B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1234622</w:t>
            </w:r>
          </w:p>
        </w:tc>
        <w:tc>
          <w:tcPr>
            <w:tcW w:w="1385" w:type="dxa"/>
            <w:noWrap w:val="0"/>
            <w:vAlign w:val="center"/>
          </w:tcPr>
          <w:p w14:paraId="7D1E59B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1 392 043,00</w:t>
            </w:r>
          </w:p>
        </w:tc>
        <w:tc>
          <w:tcPr>
            <w:tcW w:w="1385" w:type="dxa"/>
            <w:noWrap w:val="0"/>
            <w:vAlign w:val="center"/>
          </w:tcPr>
          <w:p w14:paraId="00896FD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86" w:type="dxa"/>
            <w:noWrap w:val="0"/>
            <w:vAlign w:val="center"/>
          </w:tcPr>
          <w:p w14:paraId="4AE0AEF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86" w:type="dxa"/>
            <w:noWrap w:val="0"/>
            <w:vAlign w:val="center"/>
          </w:tcPr>
          <w:p w14:paraId="217E71C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1 385 888,00</w:t>
            </w:r>
          </w:p>
        </w:tc>
        <w:tc>
          <w:tcPr>
            <w:tcW w:w="1386" w:type="dxa"/>
            <w:noWrap w:val="0"/>
            <w:vAlign w:val="center"/>
          </w:tcPr>
          <w:p w14:paraId="53A7AC4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7 912 955,00</w:t>
            </w:r>
          </w:p>
        </w:tc>
      </w:tr>
      <w:tr w14:paraId="27A3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34DEB500">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5.1</w:t>
            </w:r>
          </w:p>
        </w:tc>
        <w:tc>
          <w:tcPr>
            <w:tcW w:w="2301" w:type="dxa"/>
            <w:vMerge w:val="restart"/>
            <w:noWrap w:val="0"/>
            <w:vAlign w:val="center"/>
          </w:tcPr>
          <w:p w14:paraId="65476B40">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Техническое оснащение муниципальных музеев</w:t>
            </w:r>
          </w:p>
        </w:tc>
        <w:tc>
          <w:tcPr>
            <w:tcW w:w="1499" w:type="dxa"/>
            <w:noWrap w:val="0"/>
            <w:vAlign w:val="center"/>
          </w:tcPr>
          <w:p w14:paraId="1122F0DD">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0F0CA99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202 100,00</w:t>
            </w:r>
          </w:p>
        </w:tc>
        <w:tc>
          <w:tcPr>
            <w:tcW w:w="1384" w:type="dxa"/>
            <w:noWrap w:val="0"/>
            <w:vAlign w:val="center"/>
          </w:tcPr>
          <w:p w14:paraId="5FE7180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1E0DE7D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551 000,00</w:t>
            </w:r>
          </w:p>
        </w:tc>
        <w:tc>
          <w:tcPr>
            <w:tcW w:w="1385" w:type="dxa"/>
            <w:noWrap w:val="0"/>
            <w:vAlign w:val="center"/>
          </w:tcPr>
          <w:p w14:paraId="194DF3A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4431FA1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58A4B02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312F13B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366BC71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753 100,00</w:t>
            </w:r>
          </w:p>
        </w:tc>
      </w:tr>
      <w:tr w14:paraId="384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B10A80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A914EAA">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F1D45B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00444A8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7DBB6E6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A7A840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540042,07</w:t>
            </w:r>
          </w:p>
        </w:tc>
        <w:tc>
          <w:tcPr>
            <w:tcW w:w="1385" w:type="dxa"/>
            <w:noWrap w:val="0"/>
            <w:vAlign w:val="center"/>
          </w:tcPr>
          <w:p w14:paraId="4065625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37C054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BC53EF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D3B4CE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EFC7AF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540 042,07</w:t>
            </w:r>
          </w:p>
        </w:tc>
      </w:tr>
      <w:tr w14:paraId="7302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53662593">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1ED87188">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7C0ED7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227D611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200 000,00</w:t>
            </w:r>
          </w:p>
        </w:tc>
        <w:tc>
          <w:tcPr>
            <w:tcW w:w="1384" w:type="dxa"/>
            <w:noWrap w:val="0"/>
            <w:vAlign w:val="center"/>
          </w:tcPr>
          <w:p w14:paraId="22546FB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C5011B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5457,93</w:t>
            </w:r>
          </w:p>
        </w:tc>
        <w:tc>
          <w:tcPr>
            <w:tcW w:w="1385" w:type="dxa"/>
            <w:noWrap w:val="0"/>
            <w:vAlign w:val="center"/>
          </w:tcPr>
          <w:p w14:paraId="10A9258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52E807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F91055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15259E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EF31A8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205 457,93</w:t>
            </w:r>
          </w:p>
        </w:tc>
      </w:tr>
      <w:tr w14:paraId="340B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26F6E94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248CD29D">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45CF904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3E4E802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2 100,00</w:t>
            </w:r>
          </w:p>
        </w:tc>
        <w:tc>
          <w:tcPr>
            <w:tcW w:w="1384" w:type="dxa"/>
            <w:noWrap w:val="0"/>
            <w:vAlign w:val="center"/>
          </w:tcPr>
          <w:p w14:paraId="7854F9F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8E284F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5500</w:t>
            </w:r>
          </w:p>
        </w:tc>
        <w:tc>
          <w:tcPr>
            <w:tcW w:w="1385" w:type="dxa"/>
            <w:noWrap w:val="0"/>
            <w:vAlign w:val="center"/>
          </w:tcPr>
          <w:p w14:paraId="0A1B79B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5F89E6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C18104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5EB887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3797F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7 600,00</w:t>
            </w:r>
          </w:p>
        </w:tc>
      </w:tr>
      <w:tr w14:paraId="6E20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5066C91C">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5.2</w:t>
            </w:r>
          </w:p>
        </w:tc>
        <w:tc>
          <w:tcPr>
            <w:tcW w:w="2301" w:type="dxa"/>
            <w:vMerge w:val="restart"/>
            <w:noWrap w:val="0"/>
            <w:vAlign w:val="center"/>
          </w:tcPr>
          <w:p w14:paraId="3FD16C6F">
            <w:pPr>
              <w:spacing w:line="100" w:lineRule="atLeast"/>
              <w:ind w:left="0" w:leftChars="0" w:firstLine="0" w:firstLineChars="0"/>
              <w:jc w:val="center"/>
              <w:rPr>
                <w:rFonts w:hint="default" w:ascii="Times New Roman" w:hAnsi="Times New Roman" w:cs="Times New Roman"/>
                <w:b/>
                <w:sz w:val="18"/>
                <w:szCs w:val="18"/>
                <w:vertAlign w:val="baseline"/>
                <w:lang w:val="ru-RU"/>
              </w:rPr>
            </w:pPr>
            <w:r>
              <w:rPr>
                <w:rFonts w:hint="default" w:ascii="Times New Roman" w:hAnsi="Times New Roman" w:eastAsia="SimSun" w:cs="Times New Roman"/>
                <w:i w:val="0"/>
                <w:iCs w:val="0"/>
                <w:color w:val="000000"/>
                <w:kern w:val="0"/>
                <w:sz w:val="18"/>
                <w:szCs w:val="18"/>
                <w:u w:val="none"/>
                <w:lang w:val="en-US" w:eastAsia="zh-CN" w:bidi="ar"/>
              </w:rPr>
              <w:t>иные межбюджетные трансферты</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местным бюжетам из фонда</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поддержки инициатив населения на реализацию инициатив населения в области культуры - на приобретение мебели для муниципального казенного учреждения Лебяжская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"Межпоселенческая централизованная библиотечная система", муниципального казенного учреждения Лебяжский краеведческий музей, муниципального казенного учреждения "Централизованная</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клубная система" Лебяжского</w:t>
            </w:r>
            <w:r>
              <w:rPr>
                <w:rFonts w:hint="default" w:ascii="Times New Roman" w:hAnsi="Times New Roman" w:eastAsia="SimSun" w:cs="Times New Roman"/>
                <w:i w:val="0"/>
                <w:iCs w:val="0"/>
                <w:color w:val="000000"/>
                <w:kern w:val="0"/>
                <w:sz w:val="18"/>
                <w:szCs w:val="18"/>
                <w:u w:val="none"/>
                <w:lang w:val="en-US" w:eastAsia="zh-CN" w:bidi="ar"/>
              </w:rPr>
              <w:br w:type="textWrapping"/>
            </w:r>
            <w:r>
              <w:rPr>
                <w:rFonts w:hint="default" w:ascii="Times New Roman" w:hAnsi="Times New Roman" w:eastAsia="SimSun" w:cs="Times New Roman"/>
                <w:i w:val="0"/>
                <w:iCs w:val="0"/>
                <w:color w:val="000000"/>
                <w:kern w:val="0"/>
                <w:sz w:val="18"/>
                <w:szCs w:val="18"/>
                <w:u w:val="none"/>
                <w:lang w:val="en-US" w:eastAsia="zh-CN" w:bidi="ar"/>
              </w:rPr>
              <w:t>муниципального окру</w:t>
            </w:r>
            <w:r>
              <w:rPr>
                <w:rFonts w:hint="default" w:eastAsia="SimSun" w:cs="Times New Roman"/>
                <w:i w:val="0"/>
                <w:iCs w:val="0"/>
                <w:color w:val="000000"/>
                <w:kern w:val="0"/>
                <w:sz w:val="18"/>
                <w:szCs w:val="18"/>
                <w:u w:val="none"/>
                <w:lang w:val="ru-RU" w:eastAsia="zh-CN" w:bidi="ar"/>
              </w:rPr>
              <w:t>га</w:t>
            </w:r>
          </w:p>
        </w:tc>
        <w:tc>
          <w:tcPr>
            <w:tcW w:w="1499" w:type="dxa"/>
            <w:noWrap w:val="0"/>
            <w:vAlign w:val="center"/>
          </w:tcPr>
          <w:p w14:paraId="4B5D8A8B">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57B76A8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4" w:type="dxa"/>
            <w:noWrap w:val="0"/>
            <w:vAlign w:val="center"/>
          </w:tcPr>
          <w:p w14:paraId="4F0C984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45 130,00</w:t>
            </w:r>
          </w:p>
        </w:tc>
        <w:tc>
          <w:tcPr>
            <w:tcW w:w="1385" w:type="dxa"/>
            <w:noWrap w:val="0"/>
            <w:vAlign w:val="center"/>
          </w:tcPr>
          <w:p w14:paraId="5DC564D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0811E4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5" w:type="dxa"/>
            <w:noWrap w:val="0"/>
            <w:vAlign w:val="center"/>
          </w:tcPr>
          <w:p w14:paraId="6D3E613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54D08D3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6403975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c>
          <w:tcPr>
            <w:tcW w:w="1386" w:type="dxa"/>
            <w:noWrap w:val="0"/>
            <w:vAlign w:val="center"/>
          </w:tcPr>
          <w:p w14:paraId="3A69C76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45 130,00</w:t>
            </w:r>
          </w:p>
        </w:tc>
      </w:tr>
      <w:tr w14:paraId="454A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D7D202A">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C4C6A2B">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66EDFB3">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567F8AD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042417D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C409E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32523B4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926836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9A3052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D33C07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5868E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056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15A9F561">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4BF66C39">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7D7E6AD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6DD0FAE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49A1157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45 130,00</w:t>
            </w:r>
          </w:p>
        </w:tc>
        <w:tc>
          <w:tcPr>
            <w:tcW w:w="1385" w:type="dxa"/>
            <w:noWrap w:val="0"/>
            <w:vAlign w:val="center"/>
          </w:tcPr>
          <w:p w14:paraId="7236705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EA5936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A2AA24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1172DD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D0F4ED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766BCD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45 130,00</w:t>
            </w:r>
          </w:p>
        </w:tc>
      </w:tr>
      <w:tr w14:paraId="32BF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F3788D7">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66F95423">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5D5A9DF7">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3461CE9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0B12651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67DF9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CEC517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EC0602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10B98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480DDE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F0CA6B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4B6A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520DC7BE">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6</w:t>
            </w:r>
          </w:p>
        </w:tc>
        <w:tc>
          <w:tcPr>
            <w:tcW w:w="2301" w:type="dxa"/>
            <w:vMerge w:val="restart"/>
            <w:noWrap w:val="0"/>
            <w:vAlign w:val="center"/>
          </w:tcPr>
          <w:p w14:paraId="23CF852A">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и ведение бухгалтерского учёта в учреждениях культуры Лебяжского муниципального округ</w:t>
            </w:r>
          </w:p>
        </w:tc>
        <w:tc>
          <w:tcPr>
            <w:tcW w:w="1499" w:type="dxa"/>
            <w:noWrap w:val="0"/>
            <w:vAlign w:val="center"/>
          </w:tcPr>
          <w:p w14:paraId="65ED19B8">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0447BD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1 163 578,00</w:t>
            </w:r>
          </w:p>
        </w:tc>
        <w:tc>
          <w:tcPr>
            <w:tcW w:w="1384" w:type="dxa"/>
            <w:noWrap w:val="0"/>
            <w:vAlign w:val="center"/>
          </w:tcPr>
          <w:p w14:paraId="4B5D711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1 376 900,00</w:t>
            </w:r>
          </w:p>
        </w:tc>
        <w:tc>
          <w:tcPr>
            <w:tcW w:w="1385" w:type="dxa"/>
            <w:noWrap w:val="0"/>
            <w:vAlign w:val="center"/>
          </w:tcPr>
          <w:p w14:paraId="42A31B0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1 632 900,00</w:t>
            </w:r>
          </w:p>
        </w:tc>
        <w:tc>
          <w:tcPr>
            <w:tcW w:w="1385" w:type="dxa"/>
            <w:noWrap w:val="0"/>
            <w:vAlign w:val="center"/>
          </w:tcPr>
          <w:p w14:paraId="15EB074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2 072 600,00</w:t>
            </w:r>
          </w:p>
        </w:tc>
        <w:tc>
          <w:tcPr>
            <w:tcW w:w="1385" w:type="dxa"/>
            <w:noWrap w:val="0"/>
            <w:vAlign w:val="center"/>
          </w:tcPr>
          <w:p w14:paraId="432663D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86" w:type="dxa"/>
            <w:noWrap w:val="0"/>
            <w:vAlign w:val="center"/>
          </w:tcPr>
          <w:p w14:paraId="2223AB8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86" w:type="dxa"/>
            <w:noWrap w:val="0"/>
            <w:vAlign w:val="center"/>
          </w:tcPr>
          <w:p w14:paraId="0337061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2 099 645,00</w:t>
            </w:r>
          </w:p>
        </w:tc>
        <w:tc>
          <w:tcPr>
            <w:tcW w:w="1386" w:type="dxa"/>
            <w:noWrap w:val="0"/>
            <w:vAlign w:val="center"/>
          </w:tcPr>
          <w:p w14:paraId="3A8D016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12 544 913,00</w:t>
            </w:r>
          </w:p>
        </w:tc>
      </w:tr>
      <w:tr w14:paraId="430F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360282F1">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21DD9640">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311FBE1">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586B9E0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2EE3FE8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2A8AA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63D8147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F1E3E4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61BE22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0F32ED0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3EE2E78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13C0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73910892">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F6CFA02">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2F378D7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2E6D52F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DC5BDE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94B86C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5CF9D5D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1BEFE78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79A329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130AD63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2BABD27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12B2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4F5480E5">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3D9A30B6">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1F582F8E">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3FBC2E8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1 163 578,00</w:t>
            </w:r>
          </w:p>
        </w:tc>
        <w:tc>
          <w:tcPr>
            <w:tcW w:w="1384" w:type="dxa"/>
            <w:noWrap w:val="0"/>
            <w:vAlign w:val="center"/>
          </w:tcPr>
          <w:p w14:paraId="075FDEC6">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1 376 900,00</w:t>
            </w:r>
          </w:p>
        </w:tc>
        <w:tc>
          <w:tcPr>
            <w:tcW w:w="1385" w:type="dxa"/>
            <w:noWrap w:val="0"/>
            <w:vAlign w:val="center"/>
          </w:tcPr>
          <w:p w14:paraId="660ED374">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1 632 900,00</w:t>
            </w:r>
          </w:p>
        </w:tc>
        <w:tc>
          <w:tcPr>
            <w:tcW w:w="1385" w:type="dxa"/>
            <w:noWrap w:val="0"/>
            <w:vAlign w:val="center"/>
          </w:tcPr>
          <w:p w14:paraId="0825A44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2 072 600,00</w:t>
            </w:r>
          </w:p>
        </w:tc>
        <w:tc>
          <w:tcPr>
            <w:tcW w:w="1385" w:type="dxa"/>
            <w:noWrap w:val="0"/>
            <w:vAlign w:val="center"/>
          </w:tcPr>
          <w:p w14:paraId="6281CE8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86" w:type="dxa"/>
            <w:noWrap w:val="0"/>
            <w:vAlign w:val="center"/>
          </w:tcPr>
          <w:p w14:paraId="0DF2142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86" w:type="dxa"/>
            <w:noWrap w:val="0"/>
            <w:vAlign w:val="center"/>
          </w:tcPr>
          <w:p w14:paraId="1F64935C">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2 099 645,00</w:t>
            </w:r>
          </w:p>
        </w:tc>
        <w:tc>
          <w:tcPr>
            <w:tcW w:w="1386" w:type="dxa"/>
            <w:noWrap w:val="0"/>
            <w:vAlign w:val="center"/>
          </w:tcPr>
          <w:p w14:paraId="2438ED4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12 544 913,00</w:t>
            </w:r>
          </w:p>
        </w:tc>
      </w:tr>
      <w:tr w14:paraId="39FE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restart"/>
            <w:noWrap w:val="0"/>
            <w:vAlign w:val="center"/>
          </w:tcPr>
          <w:p w14:paraId="1B6E89D7">
            <w:pPr>
              <w:spacing w:line="100" w:lineRule="atLeast"/>
              <w:ind w:left="0" w:leftChars="0" w:firstLine="0" w:firstLineChars="0"/>
              <w:jc w:val="center"/>
              <w:rPr>
                <w:rFonts w:hint="default" w:ascii="Times New Roman" w:hAnsi="Times New Roman" w:cs="Times New Roman"/>
                <w:b w:val="0"/>
                <w:bCs/>
                <w:sz w:val="18"/>
                <w:szCs w:val="18"/>
                <w:vertAlign w:val="baseline"/>
                <w:lang w:val="ru-RU"/>
              </w:rPr>
            </w:pPr>
            <w:r>
              <w:rPr>
                <w:rFonts w:hint="default" w:ascii="Times New Roman" w:hAnsi="Times New Roman" w:cs="Times New Roman"/>
                <w:b w:val="0"/>
                <w:bCs/>
                <w:sz w:val="18"/>
                <w:szCs w:val="18"/>
                <w:vertAlign w:val="baseline"/>
                <w:lang w:val="ru-RU"/>
              </w:rPr>
              <w:t>7</w:t>
            </w:r>
          </w:p>
        </w:tc>
        <w:tc>
          <w:tcPr>
            <w:tcW w:w="2301" w:type="dxa"/>
            <w:vMerge w:val="restart"/>
            <w:noWrap w:val="0"/>
            <w:vAlign w:val="center"/>
          </w:tcPr>
          <w:p w14:paraId="1B23A32F">
            <w:pPr>
              <w:spacing w:line="100" w:lineRule="atLeast"/>
              <w:ind w:left="0" w:leftChars="0" w:firstLine="0" w:firstLineChars="0"/>
              <w:jc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8"/>
                <w:szCs w:val="18"/>
                <w:u w:val="none"/>
                <w:lang w:val="en-US" w:eastAsia="zh-CN" w:bidi="ar"/>
              </w:rPr>
              <w:t>Организация хозяйственного обслуживания учреждений культуры</w:t>
            </w:r>
          </w:p>
        </w:tc>
        <w:tc>
          <w:tcPr>
            <w:tcW w:w="1499" w:type="dxa"/>
            <w:noWrap w:val="0"/>
            <w:vAlign w:val="center"/>
          </w:tcPr>
          <w:p w14:paraId="6ACCE29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b/>
                <w:bCs/>
                <w:i w:val="0"/>
                <w:iCs w:val="0"/>
                <w:color w:val="000000"/>
                <w:kern w:val="0"/>
                <w:sz w:val="18"/>
                <w:szCs w:val="18"/>
                <w:u w:val="none"/>
                <w:lang w:val="en-US" w:eastAsia="zh-CN" w:bidi="ar"/>
              </w:rPr>
              <w:t>ВСЕГО</w:t>
            </w:r>
          </w:p>
        </w:tc>
        <w:tc>
          <w:tcPr>
            <w:tcW w:w="1384" w:type="dxa"/>
            <w:noWrap w:val="0"/>
            <w:vAlign w:val="center"/>
          </w:tcPr>
          <w:p w14:paraId="38461EA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8 624 471,00</w:t>
            </w:r>
          </w:p>
        </w:tc>
        <w:tc>
          <w:tcPr>
            <w:tcW w:w="1384" w:type="dxa"/>
            <w:noWrap w:val="0"/>
            <w:vAlign w:val="center"/>
          </w:tcPr>
          <w:p w14:paraId="1BD2750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10 124 500,00</w:t>
            </w:r>
          </w:p>
        </w:tc>
        <w:tc>
          <w:tcPr>
            <w:tcW w:w="1385" w:type="dxa"/>
            <w:noWrap w:val="0"/>
            <w:vAlign w:val="center"/>
          </w:tcPr>
          <w:p w14:paraId="00828D3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11 260 600,00</w:t>
            </w:r>
          </w:p>
        </w:tc>
        <w:tc>
          <w:tcPr>
            <w:tcW w:w="1385" w:type="dxa"/>
            <w:noWrap w:val="0"/>
            <w:vAlign w:val="center"/>
          </w:tcPr>
          <w:p w14:paraId="52E7924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13 321 600,00</w:t>
            </w:r>
          </w:p>
        </w:tc>
        <w:tc>
          <w:tcPr>
            <w:tcW w:w="1385" w:type="dxa"/>
            <w:noWrap w:val="0"/>
            <w:vAlign w:val="center"/>
          </w:tcPr>
          <w:p w14:paraId="1B99A9D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12 823 500,00</w:t>
            </w:r>
          </w:p>
        </w:tc>
        <w:tc>
          <w:tcPr>
            <w:tcW w:w="1386" w:type="dxa"/>
            <w:noWrap w:val="0"/>
            <w:vAlign w:val="center"/>
          </w:tcPr>
          <w:p w14:paraId="356BC5D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12 823 500,00</w:t>
            </w:r>
          </w:p>
        </w:tc>
        <w:tc>
          <w:tcPr>
            <w:tcW w:w="1386" w:type="dxa"/>
            <w:noWrap w:val="0"/>
            <w:vAlign w:val="center"/>
          </w:tcPr>
          <w:p w14:paraId="0CF7C40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12 823 500,00</w:t>
            </w:r>
          </w:p>
        </w:tc>
        <w:tc>
          <w:tcPr>
            <w:tcW w:w="1386" w:type="dxa"/>
            <w:noWrap w:val="0"/>
            <w:vAlign w:val="center"/>
          </w:tcPr>
          <w:p w14:paraId="5132C82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81 801 671,00</w:t>
            </w:r>
          </w:p>
        </w:tc>
      </w:tr>
      <w:tr w14:paraId="52EE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D376C35">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3688B45F">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115F080">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Федеральный бюджет</w:t>
            </w:r>
          </w:p>
        </w:tc>
        <w:tc>
          <w:tcPr>
            <w:tcW w:w="1384" w:type="dxa"/>
            <w:noWrap w:val="0"/>
            <w:vAlign w:val="center"/>
          </w:tcPr>
          <w:p w14:paraId="650A85D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4" w:type="dxa"/>
            <w:noWrap w:val="0"/>
            <w:vAlign w:val="center"/>
          </w:tcPr>
          <w:p w14:paraId="5E07BF7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757AB4D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410F6E6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5" w:type="dxa"/>
            <w:noWrap w:val="0"/>
            <w:vAlign w:val="center"/>
          </w:tcPr>
          <w:p w14:paraId="0237C65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6D48ADD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31F074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0,00</w:t>
            </w:r>
          </w:p>
        </w:tc>
        <w:tc>
          <w:tcPr>
            <w:tcW w:w="1386" w:type="dxa"/>
            <w:noWrap w:val="0"/>
            <w:vAlign w:val="center"/>
          </w:tcPr>
          <w:p w14:paraId="51C4700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0,00</w:t>
            </w:r>
          </w:p>
        </w:tc>
      </w:tr>
      <w:tr w14:paraId="1B0A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6363233">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1EFFCE03">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3BA2667A">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Областной бюджет</w:t>
            </w:r>
          </w:p>
        </w:tc>
        <w:tc>
          <w:tcPr>
            <w:tcW w:w="1384" w:type="dxa"/>
            <w:noWrap w:val="0"/>
            <w:vAlign w:val="center"/>
          </w:tcPr>
          <w:p w14:paraId="6110E455">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2 069 500,00</w:t>
            </w:r>
          </w:p>
        </w:tc>
        <w:tc>
          <w:tcPr>
            <w:tcW w:w="1384" w:type="dxa"/>
            <w:noWrap w:val="0"/>
            <w:vAlign w:val="center"/>
          </w:tcPr>
          <w:p w14:paraId="0B9A6DA7">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1 325 690,63</w:t>
            </w:r>
          </w:p>
        </w:tc>
        <w:tc>
          <w:tcPr>
            <w:tcW w:w="1385" w:type="dxa"/>
            <w:noWrap w:val="0"/>
            <w:vAlign w:val="center"/>
          </w:tcPr>
          <w:p w14:paraId="2550A36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8 039 750,00</w:t>
            </w:r>
          </w:p>
        </w:tc>
        <w:tc>
          <w:tcPr>
            <w:tcW w:w="1385" w:type="dxa"/>
            <w:noWrap w:val="0"/>
            <w:vAlign w:val="center"/>
          </w:tcPr>
          <w:p w14:paraId="6B0FFC4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7 579 600,00</w:t>
            </w:r>
          </w:p>
        </w:tc>
        <w:tc>
          <w:tcPr>
            <w:tcW w:w="1385" w:type="dxa"/>
            <w:noWrap w:val="0"/>
            <w:vAlign w:val="center"/>
          </w:tcPr>
          <w:p w14:paraId="4577745D">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9 074 000,00</w:t>
            </w:r>
          </w:p>
        </w:tc>
        <w:tc>
          <w:tcPr>
            <w:tcW w:w="1386" w:type="dxa"/>
            <w:noWrap w:val="0"/>
            <w:vAlign w:val="center"/>
          </w:tcPr>
          <w:p w14:paraId="3C88EEF0">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9 074 000,00</w:t>
            </w:r>
          </w:p>
        </w:tc>
        <w:tc>
          <w:tcPr>
            <w:tcW w:w="1386" w:type="dxa"/>
            <w:noWrap w:val="0"/>
            <w:vAlign w:val="center"/>
          </w:tcPr>
          <w:p w14:paraId="02BAD551">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9 074 000,00</w:t>
            </w:r>
          </w:p>
        </w:tc>
        <w:tc>
          <w:tcPr>
            <w:tcW w:w="1386" w:type="dxa"/>
            <w:noWrap w:val="0"/>
            <w:vAlign w:val="center"/>
          </w:tcPr>
          <w:p w14:paraId="3F473D63">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46 236 540,63</w:t>
            </w:r>
          </w:p>
        </w:tc>
      </w:tr>
      <w:tr w14:paraId="5B06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vMerge w:val="continue"/>
            <w:noWrap w:val="0"/>
            <w:vAlign w:val="center"/>
          </w:tcPr>
          <w:p w14:paraId="63167F36">
            <w:pPr>
              <w:spacing w:line="100" w:lineRule="atLeast"/>
              <w:ind w:left="0" w:leftChars="0" w:firstLine="0" w:firstLineChars="0"/>
              <w:jc w:val="center"/>
              <w:rPr>
                <w:rFonts w:hint="default" w:ascii="Times New Roman" w:hAnsi="Times New Roman" w:cs="Times New Roman"/>
                <w:b w:val="0"/>
                <w:bCs/>
                <w:sz w:val="18"/>
                <w:szCs w:val="18"/>
                <w:vertAlign w:val="baseline"/>
              </w:rPr>
            </w:pPr>
          </w:p>
        </w:tc>
        <w:tc>
          <w:tcPr>
            <w:tcW w:w="2301" w:type="dxa"/>
            <w:vMerge w:val="continue"/>
            <w:noWrap w:val="0"/>
            <w:vAlign w:val="center"/>
          </w:tcPr>
          <w:p w14:paraId="08553C86">
            <w:pPr>
              <w:spacing w:line="100" w:lineRule="atLeast"/>
              <w:ind w:left="0" w:leftChars="0" w:firstLine="0" w:firstLineChars="0"/>
              <w:jc w:val="center"/>
              <w:rPr>
                <w:rFonts w:hint="default" w:ascii="Times New Roman" w:hAnsi="Times New Roman" w:cs="Times New Roman"/>
                <w:b/>
                <w:sz w:val="18"/>
                <w:szCs w:val="18"/>
                <w:vertAlign w:val="baseline"/>
              </w:rPr>
            </w:pPr>
          </w:p>
        </w:tc>
        <w:tc>
          <w:tcPr>
            <w:tcW w:w="1499" w:type="dxa"/>
            <w:noWrap w:val="0"/>
            <w:vAlign w:val="center"/>
          </w:tcPr>
          <w:p w14:paraId="678E9DB2">
            <w:pPr>
              <w:keepNext w:val="0"/>
              <w:keepLines w:val="0"/>
              <w:widowControl/>
              <w:suppressLineNumbers w:val="0"/>
              <w:ind w:left="0" w:leftChars="0" w:firstLine="0" w:firstLineChars="0"/>
              <w:jc w:val="center"/>
              <w:textAlignment w:val="center"/>
              <w:rPr>
                <w:rFonts w:hint="default" w:ascii="Times New Roman" w:hAnsi="Times New Roman" w:eastAsia="SimSun" w:cs="Times New Roman"/>
                <w:i w:val="0"/>
                <w:iCs w:val="0"/>
                <w:color w:val="000000"/>
                <w:kern w:val="0"/>
                <w:sz w:val="18"/>
                <w:szCs w:val="18"/>
                <w:u w:val="none"/>
                <w:lang w:val="en-US" w:eastAsia="zh-CN" w:bidi="ar"/>
              </w:rPr>
            </w:pPr>
            <w:r>
              <w:rPr>
                <w:rFonts w:hint="default" w:ascii="Times New Roman" w:hAnsi="Times New Roman" w:eastAsia="SimSun" w:cs="Times New Roman"/>
                <w:i w:val="0"/>
                <w:iCs w:val="0"/>
                <w:color w:val="000000"/>
                <w:kern w:val="0"/>
                <w:sz w:val="18"/>
                <w:szCs w:val="18"/>
                <w:u w:val="none"/>
                <w:lang w:val="en-US" w:eastAsia="zh-CN" w:bidi="ar"/>
              </w:rPr>
              <w:t>Местный бюджет</w:t>
            </w:r>
          </w:p>
        </w:tc>
        <w:tc>
          <w:tcPr>
            <w:tcW w:w="1384" w:type="dxa"/>
            <w:noWrap w:val="0"/>
            <w:vAlign w:val="center"/>
          </w:tcPr>
          <w:p w14:paraId="26A5093E">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6 554 971,00</w:t>
            </w:r>
          </w:p>
        </w:tc>
        <w:tc>
          <w:tcPr>
            <w:tcW w:w="1384" w:type="dxa"/>
            <w:noWrap w:val="0"/>
            <w:vAlign w:val="center"/>
          </w:tcPr>
          <w:p w14:paraId="46732AEA">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8 798 809,37</w:t>
            </w:r>
          </w:p>
        </w:tc>
        <w:tc>
          <w:tcPr>
            <w:tcW w:w="1385" w:type="dxa"/>
            <w:noWrap w:val="0"/>
            <w:vAlign w:val="center"/>
          </w:tcPr>
          <w:p w14:paraId="02A0062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3 220 850,00</w:t>
            </w:r>
          </w:p>
        </w:tc>
        <w:tc>
          <w:tcPr>
            <w:tcW w:w="1385" w:type="dxa"/>
            <w:noWrap w:val="0"/>
            <w:vAlign w:val="center"/>
          </w:tcPr>
          <w:p w14:paraId="30F21B5B">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5 742 000,00</w:t>
            </w:r>
          </w:p>
        </w:tc>
        <w:tc>
          <w:tcPr>
            <w:tcW w:w="1385" w:type="dxa"/>
            <w:noWrap w:val="0"/>
            <w:vAlign w:val="center"/>
          </w:tcPr>
          <w:p w14:paraId="6BC2D0FF">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86" w:type="dxa"/>
            <w:noWrap w:val="0"/>
            <w:vAlign w:val="center"/>
          </w:tcPr>
          <w:p w14:paraId="0131DA58">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86" w:type="dxa"/>
            <w:noWrap w:val="0"/>
            <w:vAlign w:val="center"/>
          </w:tcPr>
          <w:p w14:paraId="06778799">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i w:val="0"/>
                <w:iCs w:val="0"/>
                <w:color w:val="000000"/>
                <w:kern w:val="0"/>
                <w:sz w:val="17"/>
                <w:szCs w:val="17"/>
                <w:u w:val="none"/>
                <w:lang w:val="en-US" w:eastAsia="zh-CN" w:bidi="ar"/>
              </w:rPr>
              <w:t>3 749 500,00</w:t>
            </w:r>
          </w:p>
        </w:tc>
        <w:tc>
          <w:tcPr>
            <w:tcW w:w="1386" w:type="dxa"/>
            <w:noWrap w:val="0"/>
            <w:vAlign w:val="center"/>
          </w:tcPr>
          <w:p w14:paraId="370259C2">
            <w:pPr>
              <w:keepNext w:val="0"/>
              <w:keepLines w:val="0"/>
              <w:widowControl/>
              <w:suppressLineNumbers w:val="0"/>
              <w:ind w:left="0" w:leftChars="0" w:firstLine="0" w:firstLineChars="0"/>
              <w:jc w:val="center"/>
              <w:textAlignment w:val="center"/>
              <w:rPr>
                <w:rFonts w:hint="default" w:ascii="Times New Roman" w:hAnsi="Times New Roman" w:cs="Times New Roman"/>
                <w:b/>
                <w:sz w:val="18"/>
                <w:szCs w:val="18"/>
                <w:vertAlign w:val="baseline"/>
              </w:rPr>
            </w:pPr>
            <w:r>
              <w:rPr>
                <w:rFonts w:hint="default" w:ascii="Times New Roman" w:hAnsi="Times New Roman" w:eastAsia="SimSun" w:cs="Times New Roman"/>
                <w:b/>
                <w:bCs/>
                <w:i w:val="0"/>
                <w:iCs w:val="0"/>
                <w:color w:val="000000"/>
                <w:kern w:val="0"/>
                <w:sz w:val="17"/>
                <w:szCs w:val="17"/>
                <w:u w:val="none"/>
                <w:lang w:val="en-US" w:eastAsia="zh-CN" w:bidi="ar"/>
              </w:rPr>
              <w:t>35 565 130,37</w:t>
            </w:r>
          </w:p>
        </w:tc>
      </w:tr>
    </w:tbl>
    <w:p w14:paraId="59611985">
      <w:pPr>
        <w:spacing w:line="100" w:lineRule="atLeast"/>
        <w:jc w:val="center"/>
      </w:pPr>
      <w:r>
        <w:rPr>
          <w:b/>
          <w:szCs w:val="28"/>
        </w:rPr>
        <w:t>________________</w:t>
      </w:r>
    </w:p>
    <w:sectPr>
      <w:headerReference r:id="rId5" w:type="first"/>
      <w:footerReference r:id="rId7" w:type="first"/>
      <w:headerReference r:id="rId4" w:type="default"/>
      <w:footerReference r:id="rId6" w:type="default"/>
      <w:pgSz w:w="16838" w:h="11906" w:orient="landscape"/>
      <w:pgMar w:top="709" w:right="567" w:bottom="-131" w:left="1134" w:header="142" w:footer="128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Liberation Serif">
    <w:altName w:val="Times New Roman"/>
    <w:panose1 w:val="02020603050405020304"/>
    <w:charset w:val="CC"/>
    <w:family w:val="roman"/>
    <w:pitch w:val="default"/>
    <w:sig w:usb0="00000000" w:usb1="00000000" w:usb2="00000021" w:usb3="00000000" w:csb0="000001B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80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74B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C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731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EB11A"/>
    <w:multiLevelType w:val="singleLevel"/>
    <w:tmpl w:val="309EB11A"/>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1B"/>
    <w:rsid w:val="000016DC"/>
    <w:rsid w:val="00002987"/>
    <w:rsid w:val="000029E1"/>
    <w:rsid w:val="00005B8F"/>
    <w:rsid w:val="00006C0B"/>
    <w:rsid w:val="000168AF"/>
    <w:rsid w:val="00020107"/>
    <w:rsid w:val="00020DD4"/>
    <w:rsid w:val="00021992"/>
    <w:rsid w:val="00023BD4"/>
    <w:rsid w:val="00025D41"/>
    <w:rsid w:val="00026DC4"/>
    <w:rsid w:val="00031377"/>
    <w:rsid w:val="00034B2C"/>
    <w:rsid w:val="0003649C"/>
    <w:rsid w:val="000415AF"/>
    <w:rsid w:val="00042715"/>
    <w:rsid w:val="00043173"/>
    <w:rsid w:val="00047F06"/>
    <w:rsid w:val="000526B5"/>
    <w:rsid w:val="00052707"/>
    <w:rsid w:val="00052BDD"/>
    <w:rsid w:val="00056A1A"/>
    <w:rsid w:val="00056B6E"/>
    <w:rsid w:val="000577BC"/>
    <w:rsid w:val="00060D65"/>
    <w:rsid w:val="0006132C"/>
    <w:rsid w:val="000617D5"/>
    <w:rsid w:val="00063B60"/>
    <w:rsid w:val="00064F15"/>
    <w:rsid w:val="00065F8E"/>
    <w:rsid w:val="00073F08"/>
    <w:rsid w:val="00074215"/>
    <w:rsid w:val="000753CE"/>
    <w:rsid w:val="00075A9A"/>
    <w:rsid w:val="00076B79"/>
    <w:rsid w:val="0008319B"/>
    <w:rsid w:val="00083E17"/>
    <w:rsid w:val="000872BA"/>
    <w:rsid w:val="00091186"/>
    <w:rsid w:val="00092A77"/>
    <w:rsid w:val="00093737"/>
    <w:rsid w:val="000968A6"/>
    <w:rsid w:val="000A64F0"/>
    <w:rsid w:val="000A6FDB"/>
    <w:rsid w:val="000B0E28"/>
    <w:rsid w:val="000B2AEE"/>
    <w:rsid w:val="000B3B14"/>
    <w:rsid w:val="000B485E"/>
    <w:rsid w:val="000B51BD"/>
    <w:rsid w:val="000B6D35"/>
    <w:rsid w:val="000C0461"/>
    <w:rsid w:val="000C1689"/>
    <w:rsid w:val="000C3537"/>
    <w:rsid w:val="000C66AE"/>
    <w:rsid w:val="000D0C67"/>
    <w:rsid w:val="000D20CC"/>
    <w:rsid w:val="000D21BC"/>
    <w:rsid w:val="000D455B"/>
    <w:rsid w:val="000D4FBA"/>
    <w:rsid w:val="000D6E2D"/>
    <w:rsid w:val="000E1B35"/>
    <w:rsid w:val="000E3E7B"/>
    <w:rsid w:val="000E4F3A"/>
    <w:rsid w:val="000E5D1D"/>
    <w:rsid w:val="000F2465"/>
    <w:rsid w:val="000F3D16"/>
    <w:rsid w:val="000F4F9F"/>
    <w:rsid w:val="001050CF"/>
    <w:rsid w:val="001126A6"/>
    <w:rsid w:val="0011338D"/>
    <w:rsid w:val="00117C51"/>
    <w:rsid w:val="00121600"/>
    <w:rsid w:val="001231F1"/>
    <w:rsid w:val="001235CE"/>
    <w:rsid w:val="00126E2B"/>
    <w:rsid w:val="00134571"/>
    <w:rsid w:val="00135A54"/>
    <w:rsid w:val="00137DCA"/>
    <w:rsid w:val="00140E59"/>
    <w:rsid w:val="0014148A"/>
    <w:rsid w:val="00141507"/>
    <w:rsid w:val="00143D9F"/>
    <w:rsid w:val="00146F52"/>
    <w:rsid w:val="00150EEE"/>
    <w:rsid w:val="00153603"/>
    <w:rsid w:val="00153AC8"/>
    <w:rsid w:val="0016119D"/>
    <w:rsid w:val="00164280"/>
    <w:rsid w:val="001669F3"/>
    <w:rsid w:val="00167760"/>
    <w:rsid w:val="001720FC"/>
    <w:rsid w:val="00172955"/>
    <w:rsid w:val="00174983"/>
    <w:rsid w:val="00175395"/>
    <w:rsid w:val="00176A19"/>
    <w:rsid w:val="00192313"/>
    <w:rsid w:val="00193EBB"/>
    <w:rsid w:val="00196076"/>
    <w:rsid w:val="001A4788"/>
    <w:rsid w:val="001A5335"/>
    <w:rsid w:val="001A6810"/>
    <w:rsid w:val="001A6A9C"/>
    <w:rsid w:val="001B0F37"/>
    <w:rsid w:val="001B429B"/>
    <w:rsid w:val="001B74F3"/>
    <w:rsid w:val="001C0333"/>
    <w:rsid w:val="001C133D"/>
    <w:rsid w:val="001C221B"/>
    <w:rsid w:val="001C2A51"/>
    <w:rsid w:val="001C36FF"/>
    <w:rsid w:val="001C3C06"/>
    <w:rsid w:val="001C5C9B"/>
    <w:rsid w:val="001D0DCB"/>
    <w:rsid w:val="001D18BA"/>
    <w:rsid w:val="001E0CCF"/>
    <w:rsid w:val="001E28EB"/>
    <w:rsid w:val="001E63DB"/>
    <w:rsid w:val="001F4C96"/>
    <w:rsid w:val="001F4D30"/>
    <w:rsid w:val="001F5946"/>
    <w:rsid w:val="00201565"/>
    <w:rsid w:val="0020650D"/>
    <w:rsid w:val="0020666C"/>
    <w:rsid w:val="00207A78"/>
    <w:rsid w:val="00210B70"/>
    <w:rsid w:val="00211614"/>
    <w:rsid w:val="00214A5E"/>
    <w:rsid w:val="0021520B"/>
    <w:rsid w:val="00217758"/>
    <w:rsid w:val="00217A50"/>
    <w:rsid w:val="00220E3F"/>
    <w:rsid w:val="002242C8"/>
    <w:rsid w:val="002245C5"/>
    <w:rsid w:val="00224C42"/>
    <w:rsid w:val="002260D2"/>
    <w:rsid w:val="002361D5"/>
    <w:rsid w:val="00236ADE"/>
    <w:rsid w:val="00236F09"/>
    <w:rsid w:val="0024140B"/>
    <w:rsid w:val="00246834"/>
    <w:rsid w:val="002518AA"/>
    <w:rsid w:val="002534DF"/>
    <w:rsid w:val="00254610"/>
    <w:rsid w:val="00260AA7"/>
    <w:rsid w:val="00262B46"/>
    <w:rsid w:val="00264EDB"/>
    <w:rsid w:val="00266F46"/>
    <w:rsid w:val="00267ABE"/>
    <w:rsid w:val="00271606"/>
    <w:rsid w:val="00277C3B"/>
    <w:rsid w:val="002808D7"/>
    <w:rsid w:val="0028171B"/>
    <w:rsid w:val="00283A1C"/>
    <w:rsid w:val="0029712D"/>
    <w:rsid w:val="002A06E6"/>
    <w:rsid w:val="002A12AA"/>
    <w:rsid w:val="002A28B6"/>
    <w:rsid w:val="002A3EC9"/>
    <w:rsid w:val="002A458F"/>
    <w:rsid w:val="002A4FA4"/>
    <w:rsid w:val="002B0146"/>
    <w:rsid w:val="002B51EB"/>
    <w:rsid w:val="002C118C"/>
    <w:rsid w:val="002C33B1"/>
    <w:rsid w:val="002C5017"/>
    <w:rsid w:val="002C5220"/>
    <w:rsid w:val="002D0A24"/>
    <w:rsid w:val="002D55C5"/>
    <w:rsid w:val="002D6388"/>
    <w:rsid w:val="002D7E17"/>
    <w:rsid w:val="002E08C9"/>
    <w:rsid w:val="002E1EF5"/>
    <w:rsid w:val="002E234C"/>
    <w:rsid w:val="002E37B9"/>
    <w:rsid w:val="002E5251"/>
    <w:rsid w:val="002F177B"/>
    <w:rsid w:val="002F1F3C"/>
    <w:rsid w:val="002F29BC"/>
    <w:rsid w:val="002F685F"/>
    <w:rsid w:val="002F7032"/>
    <w:rsid w:val="002F7C15"/>
    <w:rsid w:val="0030521F"/>
    <w:rsid w:val="0030552B"/>
    <w:rsid w:val="00305F61"/>
    <w:rsid w:val="003100F5"/>
    <w:rsid w:val="00311423"/>
    <w:rsid w:val="00314C6B"/>
    <w:rsid w:val="00315532"/>
    <w:rsid w:val="0032553D"/>
    <w:rsid w:val="00326C5D"/>
    <w:rsid w:val="00327D5A"/>
    <w:rsid w:val="003303C1"/>
    <w:rsid w:val="0033432E"/>
    <w:rsid w:val="00337208"/>
    <w:rsid w:val="0034531E"/>
    <w:rsid w:val="00346168"/>
    <w:rsid w:val="00346DA6"/>
    <w:rsid w:val="00351359"/>
    <w:rsid w:val="00354B1B"/>
    <w:rsid w:val="00360695"/>
    <w:rsid w:val="0036236C"/>
    <w:rsid w:val="00362520"/>
    <w:rsid w:val="00366333"/>
    <w:rsid w:val="0037366D"/>
    <w:rsid w:val="00375387"/>
    <w:rsid w:val="003761E8"/>
    <w:rsid w:val="003768AD"/>
    <w:rsid w:val="0038001C"/>
    <w:rsid w:val="00380AB0"/>
    <w:rsid w:val="00382DCC"/>
    <w:rsid w:val="00387AF1"/>
    <w:rsid w:val="003A1768"/>
    <w:rsid w:val="003A1CC6"/>
    <w:rsid w:val="003A4584"/>
    <w:rsid w:val="003B26A0"/>
    <w:rsid w:val="003B5051"/>
    <w:rsid w:val="003C1EA5"/>
    <w:rsid w:val="003C7E7E"/>
    <w:rsid w:val="003D11D4"/>
    <w:rsid w:val="003D2FD2"/>
    <w:rsid w:val="003D36CF"/>
    <w:rsid w:val="003E1F4D"/>
    <w:rsid w:val="003E4ECC"/>
    <w:rsid w:val="003E6A84"/>
    <w:rsid w:val="003F3252"/>
    <w:rsid w:val="003F374D"/>
    <w:rsid w:val="003F5163"/>
    <w:rsid w:val="003F5A48"/>
    <w:rsid w:val="003F79D9"/>
    <w:rsid w:val="00400828"/>
    <w:rsid w:val="0040230F"/>
    <w:rsid w:val="0040407E"/>
    <w:rsid w:val="00404EB5"/>
    <w:rsid w:val="00423516"/>
    <w:rsid w:val="004301F9"/>
    <w:rsid w:val="004319C6"/>
    <w:rsid w:val="00434516"/>
    <w:rsid w:val="00436D49"/>
    <w:rsid w:val="004376F4"/>
    <w:rsid w:val="00437CC4"/>
    <w:rsid w:val="00444992"/>
    <w:rsid w:val="00447532"/>
    <w:rsid w:val="00450903"/>
    <w:rsid w:val="00451A27"/>
    <w:rsid w:val="004601F8"/>
    <w:rsid w:val="00460E44"/>
    <w:rsid w:val="0046232A"/>
    <w:rsid w:val="00463566"/>
    <w:rsid w:val="00463A39"/>
    <w:rsid w:val="004647FB"/>
    <w:rsid w:val="00471B11"/>
    <w:rsid w:val="00471B34"/>
    <w:rsid w:val="00474BDA"/>
    <w:rsid w:val="004751E1"/>
    <w:rsid w:val="00477596"/>
    <w:rsid w:val="00480E71"/>
    <w:rsid w:val="00482C17"/>
    <w:rsid w:val="00483EF4"/>
    <w:rsid w:val="00490048"/>
    <w:rsid w:val="00492697"/>
    <w:rsid w:val="00493889"/>
    <w:rsid w:val="0049415E"/>
    <w:rsid w:val="004A1B75"/>
    <w:rsid w:val="004B34EF"/>
    <w:rsid w:val="004B4232"/>
    <w:rsid w:val="004C6E4F"/>
    <w:rsid w:val="004C7578"/>
    <w:rsid w:val="004D0B7E"/>
    <w:rsid w:val="004D1E5A"/>
    <w:rsid w:val="004E1498"/>
    <w:rsid w:val="004E1B5A"/>
    <w:rsid w:val="004E60AA"/>
    <w:rsid w:val="004E75BE"/>
    <w:rsid w:val="004F0C8B"/>
    <w:rsid w:val="004F1B12"/>
    <w:rsid w:val="004F1CF1"/>
    <w:rsid w:val="004F4AA2"/>
    <w:rsid w:val="004F79ED"/>
    <w:rsid w:val="0050029D"/>
    <w:rsid w:val="00506546"/>
    <w:rsid w:val="00510545"/>
    <w:rsid w:val="00520360"/>
    <w:rsid w:val="00520ADE"/>
    <w:rsid w:val="00523122"/>
    <w:rsid w:val="00525812"/>
    <w:rsid w:val="00525F3B"/>
    <w:rsid w:val="00527735"/>
    <w:rsid w:val="00536885"/>
    <w:rsid w:val="00536A55"/>
    <w:rsid w:val="00536D14"/>
    <w:rsid w:val="005376C6"/>
    <w:rsid w:val="00537D9E"/>
    <w:rsid w:val="00542252"/>
    <w:rsid w:val="0054240A"/>
    <w:rsid w:val="00544062"/>
    <w:rsid w:val="00545F75"/>
    <w:rsid w:val="00551581"/>
    <w:rsid w:val="00560AF8"/>
    <w:rsid w:val="00560BF4"/>
    <w:rsid w:val="00560DF9"/>
    <w:rsid w:val="00561789"/>
    <w:rsid w:val="00572EE2"/>
    <w:rsid w:val="00573198"/>
    <w:rsid w:val="005732A3"/>
    <w:rsid w:val="00573EE0"/>
    <w:rsid w:val="0057455A"/>
    <w:rsid w:val="005751BB"/>
    <w:rsid w:val="00581EE8"/>
    <w:rsid w:val="005830A4"/>
    <w:rsid w:val="00585C36"/>
    <w:rsid w:val="005869D1"/>
    <w:rsid w:val="005873CA"/>
    <w:rsid w:val="005922BD"/>
    <w:rsid w:val="00594BCD"/>
    <w:rsid w:val="005A14D3"/>
    <w:rsid w:val="005A1FB5"/>
    <w:rsid w:val="005A2E54"/>
    <w:rsid w:val="005B2BFC"/>
    <w:rsid w:val="005C1487"/>
    <w:rsid w:val="005D2013"/>
    <w:rsid w:val="005D3DC6"/>
    <w:rsid w:val="005E48E7"/>
    <w:rsid w:val="005E591C"/>
    <w:rsid w:val="005E6A00"/>
    <w:rsid w:val="005F140B"/>
    <w:rsid w:val="005F48F9"/>
    <w:rsid w:val="005F6698"/>
    <w:rsid w:val="005F6715"/>
    <w:rsid w:val="00600F47"/>
    <w:rsid w:val="00602770"/>
    <w:rsid w:val="00603802"/>
    <w:rsid w:val="00617D58"/>
    <w:rsid w:val="006231BF"/>
    <w:rsid w:val="0062609D"/>
    <w:rsid w:val="00626602"/>
    <w:rsid w:val="006308FD"/>
    <w:rsid w:val="0063211E"/>
    <w:rsid w:val="00633B4A"/>
    <w:rsid w:val="00642075"/>
    <w:rsid w:val="006455C1"/>
    <w:rsid w:val="00646290"/>
    <w:rsid w:val="00646AD3"/>
    <w:rsid w:val="006505F9"/>
    <w:rsid w:val="0065217D"/>
    <w:rsid w:val="00652EFC"/>
    <w:rsid w:val="0065474A"/>
    <w:rsid w:val="00654B97"/>
    <w:rsid w:val="00655EA8"/>
    <w:rsid w:val="00660E34"/>
    <w:rsid w:val="00661E94"/>
    <w:rsid w:val="006623F3"/>
    <w:rsid w:val="00664577"/>
    <w:rsid w:val="00665D52"/>
    <w:rsid w:val="00666DDF"/>
    <w:rsid w:val="00670EA9"/>
    <w:rsid w:val="00671E3B"/>
    <w:rsid w:val="00671FCB"/>
    <w:rsid w:val="00672492"/>
    <w:rsid w:val="0067675E"/>
    <w:rsid w:val="0068090C"/>
    <w:rsid w:val="00681735"/>
    <w:rsid w:val="00684E44"/>
    <w:rsid w:val="00691B94"/>
    <w:rsid w:val="0069530C"/>
    <w:rsid w:val="0069762F"/>
    <w:rsid w:val="006A4836"/>
    <w:rsid w:val="006A6087"/>
    <w:rsid w:val="006A6EFF"/>
    <w:rsid w:val="006B00C7"/>
    <w:rsid w:val="006B2087"/>
    <w:rsid w:val="006B27FA"/>
    <w:rsid w:val="006B344C"/>
    <w:rsid w:val="006B3F49"/>
    <w:rsid w:val="006C24CC"/>
    <w:rsid w:val="006C28C6"/>
    <w:rsid w:val="006C32AE"/>
    <w:rsid w:val="006C41A1"/>
    <w:rsid w:val="006C4C95"/>
    <w:rsid w:val="006D146B"/>
    <w:rsid w:val="006D207C"/>
    <w:rsid w:val="006D564B"/>
    <w:rsid w:val="006D69F0"/>
    <w:rsid w:val="006E0765"/>
    <w:rsid w:val="006E685F"/>
    <w:rsid w:val="006F0AEC"/>
    <w:rsid w:val="006F0C97"/>
    <w:rsid w:val="006F16DD"/>
    <w:rsid w:val="006F297D"/>
    <w:rsid w:val="006F3ABD"/>
    <w:rsid w:val="006F5502"/>
    <w:rsid w:val="00702677"/>
    <w:rsid w:val="0070306F"/>
    <w:rsid w:val="00704FB3"/>
    <w:rsid w:val="007145AD"/>
    <w:rsid w:val="00716A76"/>
    <w:rsid w:val="00717910"/>
    <w:rsid w:val="007208C0"/>
    <w:rsid w:val="007213D2"/>
    <w:rsid w:val="0072154A"/>
    <w:rsid w:val="00721869"/>
    <w:rsid w:val="0073208C"/>
    <w:rsid w:val="00736549"/>
    <w:rsid w:val="007373FF"/>
    <w:rsid w:val="007426B5"/>
    <w:rsid w:val="00744E21"/>
    <w:rsid w:val="00745D82"/>
    <w:rsid w:val="007512F9"/>
    <w:rsid w:val="00753BCC"/>
    <w:rsid w:val="00755614"/>
    <w:rsid w:val="00761EC8"/>
    <w:rsid w:val="007655BB"/>
    <w:rsid w:val="007656FA"/>
    <w:rsid w:val="00770E48"/>
    <w:rsid w:val="00771DCA"/>
    <w:rsid w:val="007724A6"/>
    <w:rsid w:val="007828FD"/>
    <w:rsid w:val="0078320A"/>
    <w:rsid w:val="0078380B"/>
    <w:rsid w:val="00783B6C"/>
    <w:rsid w:val="00784D88"/>
    <w:rsid w:val="00785286"/>
    <w:rsid w:val="00793DD7"/>
    <w:rsid w:val="007967C0"/>
    <w:rsid w:val="00797B46"/>
    <w:rsid w:val="007A083A"/>
    <w:rsid w:val="007A0AAD"/>
    <w:rsid w:val="007A0F0C"/>
    <w:rsid w:val="007A28AA"/>
    <w:rsid w:val="007A47BB"/>
    <w:rsid w:val="007A5669"/>
    <w:rsid w:val="007C41D3"/>
    <w:rsid w:val="007C421A"/>
    <w:rsid w:val="007C5DE8"/>
    <w:rsid w:val="007C644E"/>
    <w:rsid w:val="007D5966"/>
    <w:rsid w:val="007D637F"/>
    <w:rsid w:val="007E0B04"/>
    <w:rsid w:val="007E1D68"/>
    <w:rsid w:val="007E4BFA"/>
    <w:rsid w:val="007E4DA5"/>
    <w:rsid w:val="007E7060"/>
    <w:rsid w:val="007F1341"/>
    <w:rsid w:val="007F1F3F"/>
    <w:rsid w:val="007F3957"/>
    <w:rsid w:val="007F4BCF"/>
    <w:rsid w:val="007F4DBC"/>
    <w:rsid w:val="00800140"/>
    <w:rsid w:val="008001B5"/>
    <w:rsid w:val="008011FC"/>
    <w:rsid w:val="00805A41"/>
    <w:rsid w:val="00807876"/>
    <w:rsid w:val="00811D17"/>
    <w:rsid w:val="00816A20"/>
    <w:rsid w:val="00822A41"/>
    <w:rsid w:val="008249EC"/>
    <w:rsid w:val="00825953"/>
    <w:rsid w:val="00836783"/>
    <w:rsid w:val="0083754B"/>
    <w:rsid w:val="00840087"/>
    <w:rsid w:val="00843D97"/>
    <w:rsid w:val="008449B0"/>
    <w:rsid w:val="00850BB9"/>
    <w:rsid w:val="008533ED"/>
    <w:rsid w:val="00853CBE"/>
    <w:rsid w:val="00854E2B"/>
    <w:rsid w:val="0085658D"/>
    <w:rsid w:val="008638EB"/>
    <w:rsid w:val="00863A39"/>
    <w:rsid w:val="00863CFD"/>
    <w:rsid w:val="00864CA8"/>
    <w:rsid w:val="00865F00"/>
    <w:rsid w:val="00865FFD"/>
    <w:rsid w:val="00867038"/>
    <w:rsid w:val="00873E20"/>
    <w:rsid w:val="00875D07"/>
    <w:rsid w:val="008779DC"/>
    <w:rsid w:val="00883052"/>
    <w:rsid w:val="00886EF0"/>
    <w:rsid w:val="008914C4"/>
    <w:rsid w:val="00892473"/>
    <w:rsid w:val="00894A24"/>
    <w:rsid w:val="008A0391"/>
    <w:rsid w:val="008A4A11"/>
    <w:rsid w:val="008B391A"/>
    <w:rsid w:val="008B4881"/>
    <w:rsid w:val="008B534E"/>
    <w:rsid w:val="008B6CE5"/>
    <w:rsid w:val="008C119B"/>
    <w:rsid w:val="008C68BA"/>
    <w:rsid w:val="008C79AC"/>
    <w:rsid w:val="008D2AE9"/>
    <w:rsid w:val="008D5909"/>
    <w:rsid w:val="008D5AF4"/>
    <w:rsid w:val="008E2B83"/>
    <w:rsid w:val="008E37AD"/>
    <w:rsid w:val="008E3EFA"/>
    <w:rsid w:val="008F4BF0"/>
    <w:rsid w:val="008F6494"/>
    <w:rsid w:val="008F759B"/>
    <w:rsid w:val="008F7A73"/>
    <w:rsid w:val="008F7DDB"/>
    <w:rsid w:val="00901A8D"/>
    <w:rsid w:val="0090624A"/>
    <w:rsid w:val="00907A8C"/>
    <w:rsid w:val="00914E73"/>
    <w:rsid w:val="00915C4E"/>
    <w:rsid w:val="0091621D"/>
    <w:rsid w:val="00920C8B"/>
    <w:rsid w:val="0092276B"/>
    <w:rsid w:val="00924890"/>
    <w:rsid w:val="00925232"/>
    <w:rsid w:val="00931446"/>
    <w:rsid w:val="009328A6"/>
    <w:rsid w:val="009331C4"/>
    <w:rsid w:val="009335F1"/>
    <w:rsid w:val="00935B01"/>
    <w:rsid w:val="00943277"/>
    <w:rsid w:val="00952275"/>
    <w:rsid w:val="00953B10"/>
    <w:rsid w:val="00954EE6"/>
    <w:rsid w:val="0095715F"/>
    <w:rsid w:val="0095735D"/>
    <w:rsid w:val="00957587"/>
    <w:rsid w:val="0096198D"/>
    <w:rsid w:val="00962DE9"/>
    <w:rsid w:val="00973720"/>
    <w:rsid w:val="00974A64"/>
    <w:rsid w:val="009754FC"/>
    <w:rsid w:val="00975EF3"/>
    <w:rsid w:val="00984366"/>
    <w:rsid w:val="00987954"/>
    <w:rsid w:val="0099078D"/>
    <w:rsid w:val="009942F6"/>
    <w:rsid w:val="0099456E"/>
    <w:rsid w:val="00996954"/>
    <w:rsid w:val="00997EEA"/>
    <w:rsid w:val="009A0B28"/>
    <w:rsid w:val="009A13C3"/>
    <w:rsid w:val="009A17D5"/>
    <w:rsid w:val="009A6844"/>
    <w:rsid w:val="009A698E"/>
    <w:rsid w:val="009B2665"/>
    <w:rsid w:val="009B675F"/>
    <w:rsid w:val="009B6B3C"/>
    <w:rsid w:val="009C0535"/>
    <w:rsid w:val="009C2196"/>
    <w:rsid w:val="009D1244"/>
    <w:rsid w:val="009D4C40"/>
    <w:rsid w:val="009E0E7E"/>
    <w:rsid w:val="009E5018"/>
    <w:rsid w:val="009E677A"/>
    <w:rsid w:val="009E73DF"/>
    <w:rsid w:val="009F19DC"/>
    <w:rsid w:val="009F6465"/>
    <w:rsid w:val="00A0060C"/>
    <w:rsid w:val="00A02FAE"/>
    <w:rsid w:val="00A046A7"/>
    <w:rsid w:val="00A04E54"/>
    <w:rsid w:val="00A05ADC"/>
    <w:rsid w:val="00A064B8"/>
    <w:rsid w:val="00A10D80"/>
    <w:rsid w:val="00A11101"/>
    <w:rsid w:val="00A153AD"/>
    <w:rsid w:val="00A1676B"/>
    <w:rsid w:val="00A200AB"/>
    <w:rsid w:val="00A23EF2"/>
    <w:rsid w:val="00A26554"/>
    <w:rsid w:val="00A307B1"/>
    <w:rsid w:val="00A32CB2"/>
    <w:rsid w:val="00A40FCE"/>
    <w:rsid w:val="00A43D06"/>
    <w:rsid w:val="00A46273"/>
    <w:rsid w:val="00A5026C"/>
    <w:rsid w:val="00A53157"/>
    <w:rsid w:val="00A5593E"/>
    <w:rsid w:val="00A55CED"/>
    <w:rsid w:val="00A56942"/>
    <w:rsid w:val="00A60D44"/>
    <w:rsid w:val="00A629D4"/>
    <w:rsid w:val="00A640C8"/>
    <w:rsid w:val="00A74CC9"/>
    <w:rsid w:val="00A8167F"/>
    <w:rsid w:val="00A816C8"/>
    <w:rsid w:val="00A81D3E"/>
    <w:rsid w:val="00A81FA1"/>
    <w:rsid w:val="00A82F07"/>
    <w:rsid w:val="00A83085"/>
    <w:rsid w:val="00A84874"/>
    <w:rsid w:val="00A84E29"/>
    <w:rsid w:val="00A85A1E"/>
    <w:rsid w:val="00A9696E"/>
    <w:rsid w:val="00A96E8D"/>
    <w:rsid w:val="00AA0C33"/>
    <w:rsid w:val="00AA7F02"/>
    <w:rsid w:val="00AB1FFF"/>
    <w:rsid w:val="00AB5BFE"/>
    <w:rsid w:val="00AB64F9"/>
    <w:rsid w:val="00AC6873"/>
    <w:rsid w:val="00AD05CA"/>
    <w:rsid w:val="00AD1F64"/>
    <w:rsid w:val="00AE0789"/>
    <w:rsid w:val="00AE096E"/>
    <w:rsid w:val="00AE6DEF"/>
    <w:rsid w:val="00AF02C7"/>
    <w:rsid w:val="00AF39F3"/>
    <w:rsid w:val="00AF5DCB"/>
    <w:rsid w:val="00AF6E22"/>
    <w:rsid w:val="00AF7270"/>
    <w:rsid w:val="00B03B97"/>
    <w:rsid w:val="00B056BF"/>
    <w:rsid w:val="00B0698A"/>
    <w:rsid w:val="00B07E65"/>
    <w:rsid w:val="00B07E7B"/>
    <w:rsid w:val="00B1324D"/>
    <w:rsid w:val="00B213C5"/>
    <w:rsid w:val="00B221AD"/>
    <w:rsid w:val="00B23289"/>
    <w:rsid w:val="00B253EC"/>
    <w:rsid w:val="00B3350B"/>
    <w:rsid w:val="00B352BD"/>
    <w:rsid w:val="00B4009E"/>
    <w:rsid w:val="00B41FFB"/>
    <w:rsid w:val="00B430CB"/>
    <w:rsid w:val="00B43572"/>
    <w:rsid w:val="00B45DEF"/>
    <w:rsid w:val="00B46D0B"/>
    <w:rsid w:val="00B509D6"/>
    <w:rsid w:val="00B52D50"/>
    <w:rsid w:val="00B53D9B"/>
    <w:rsid w:val="00B56A8F"/>
    <w:rsid w:val="00B570A6"/>
    <w:rsid w:val="00B57E72"/>
    <w:rsid w:val="00B60FC4"/>
    <w:rsid w:val="00B6164C"/>
    <w:rsid w:val="00B62240"/>
    <w:rsid w:val="00B6474F"/>
    <w:rsid w:val="00B64D94"/>
    <w:rsid w:val="00B657A7"/>
    <w:rsid w:val="00B6666D"/>
    <w:rsid w:val="00B71B8B"/>
    <w:rsid w:val="00B75262"/>
    <w:rsid w:val="00B7747E"/>
    <w:rsid w:val="00B82D42"/>
    <w:rsid w:val="00B8477D"/>
    <w:rsid w:val="00B85E82"/>
    <w:rsid w:val="00B91F14"/>
    <w:rsid w:val="00B92FFD"/>
    <w:rsid w:val="00B93434"/>
    <w:rsid w:val="00B971FA"/>
    <w:rsid w:val="00B97464"/>
    <w:rsid w:val="00BA1F32"/>
    <w:rsid w:val="00BA68E2"/>
    <w:rsid w:val="00BA7000"/>
    <w:rsid w:val="00BB2EC9"/>
    <w:rsid w:val="00BB33FB"/>
    <w:rsid w:val="00BB36EB"/>
    <w:rsid w:val="00BB3778"/>
    <w:rsid w:val="00BB726C"/>
    <w:rsid w:val="00BC5FC4"/>
    <w:rsid w:val="00BC6993"/>
    <w:rsid w:val="00BD2F30"/>
    <w:rsid w:val="00BE2624"/>
    <w:rsid w:val="00BE3411"/>
    <w:rsid w:val="00BE3E84"/>
    <w:rsid w:val="00BF1152"/>
    <w:rsid w:val="00BF267B"/>
    <w:rsid w:val="00BF45ED"/>
    <w:rsid w:val="00BF4E58"/>
    <w:rsid w:val="00BF53AC"/>
    <w:rsid w:val="00C012BD"/>
    <w:rsid w:val="00C02149"/>
    <w:rsid w:val="00C02BFB"/>
    <w:rsid w:val="00C02FFD"/>
    <w:rsid w:val="00C0576D"/>
    <w:rsid w:val="00C114B1"/>
    <w:rsid w:val="00C135E0"/>
    <w:rsid w:val="00C16527"/>
    <w:rsid w:val="00C22038"/>
    <w:rsid w:val="00C23C2A"/>
    <w:rsid w:val="00C25E33"/>
    <w:rsid w:val="00C30B88"/>
    <w:rsid w:val="00C318B5"/>
    <w:rsid w:val="00C31F79"/>
    <w:rsid w:val="00C3333B"/>
    <w:rsid w:val="00C33B30"/>
    <w:rsid w:val="00C34C38"/>
    <w:rsid w:val="00C36671"/>
    <w:rsid w:val="00C379C0"/>
    <w:rsid w:val="00C47082"/>
    <w:rsid w:val="00C56D04"/>
    <w:rsid w:val="00C6122D"/>
    <w:rsid w:val="00C62D35"/>
    <w:rsid w:val="00C67EE2"/>
    <w:rsid w:val="00C70938"/>
    <w:rsid w:val="00C72520"/>
    <w:rsid w:val="00C730F2"/>
    <w:rsid w:val="00C7460F"/>
    <w:rsid w:val="00C74F12"/>
    <w:rsid w:val="00C7529F"/>
    <w:rsid w:val="00C75475"/>
    <w:rsid w:val="00C828C4"/>
    <w:rsid w:val="00C91878"/>
    <w:rsid w:val="00CA4FB0"/>
    <w:rsid w:val="00CA6AE3"/>
    <w:rsid w:val="00CB5560"/>
    <w:rsid w:val="00CB671A"/>
    <w:rsid w:val="00CC5D37"/>
    <w:rsid w:val="00CD6779"/>
    <w:rsid w:val="00CE08DB"/>
    <w:rsid w:val="00CE2C5E"/>
    <w:rsid w:val="00CE3D3E"/>
    <w:rsid w:val="00CE41E6"/>
    <w:rsid w:val="00CE5043"/>
    <w:rsid w:val="00CE6713"/>
    <w:rsid w:val="00D01BA4"/>
    <w:rsid w:val="00D03228"/>
    <w:rsid w:val="00D03442"/>
    <w:rsid w:val="00D05B51"/>
    <w:rsid w:val="00D06FB5"/>
    <w:rsid w:val="00D11274"/>
    <w:rsid w:val="00D12C0F"/>
    <w:rsid w:val="00D12EDD"/>
    <w:rsid w:val="00D14254"/>
    <w:rsid w:val="00D20371"/>
    <w:rsid w:val="00D214C7"/>
    <w:rsid w:val="00D21E4B"/>
    <w:rsid w:val="00D22F1A"/>
    <w:rsid w:val="00D247D5"/>
    <w:rsid w:val="00D278E8"/>
    <w:rsid w:val="00D30385"/>
    <w:rsid w:val="00D35720"/>
    <w:rsid w:val="00D41228"/>
    <w:rsid w:val="00D445B5"/>
    <w:rsid w:val="00D47A91"/>
    <w:rsid w:val="00D500C0"/>
    <w:rsid w:val="00D52BF2"/>
    <w:rsid w:val="00D5595D"/>
    <w:rsid w:val="00D574EA"/>
    <w:rsid w:val="00D603F7"/>
    <w:rsid w:val="00D61119"/>
    <w:rsid w:val="00D614A0"/>
    <w:rsid w:val="00D633AA"/>
    <w:rsid w:val="00D64B94"/>
    <w:rsid w:val="00D74915"/>
    <w:rsid w:val="00D80F07"/>
    <w:rsid w:val="00D821F2"/>
    <w:rsid w:val="00D83E6F"/>
    <w:rsid w:val="00D83FAF"/>
    <w:rsid w:val="00D85FC1"/>
    <w:rsid w:val="00D879B6"/>
    <w:rsid w:val="00D90745"/>
    <w:rsid w:val="00D916C3"/>
    <w:rsid w:val="00D932C0"/>
    <w:rsid w:val="00D941FA"/>
    <w:rsid w:val="00DA1EF6"/>
    <w:rsid w:val="00DA4A03"/>
    <w:rsid w:val="00DA5824"/>
    <w:rsid w:val="00DB659F"/>
    <w:rsid w:val="00DB7E31"/>
    <w:rsid w:val="00DC139C"/>
    <w:rsid w:val="00DC16D7"/>
    <w:rsid w:val="00DC1D09"/>
    <w:rsid w:val="00DC7FCB"/>
    <w:rsid w:val="00DD5994"/>
    <w:rsid w:val="00DD6388"/>
    <w:rsid w:val="00DD72A8"/>
    <w:rsid w:val="00DE03B7"/>
    <w:rsid w:val="00DE1237"/>
    <w:rsid w:val="00DE16A8"/>
    <w:rsid w:val="00DE3B51"/>
    <w:rsid w:val="00DF1BF3"/>
    <w:rsid w:val="00DF32FB"/>
    <w:rsid w:val="00DF3E61"/>
    <w:rsid w:val="00DF5105"/>
    <w:rsid w:val="00DF55CA"/>
    <w:rsid w:val="00DF5AE4"/>
    <w:rsid w:val="00DF5E96"/>
    <w:rsid w:val="00DF6841"/>
    <w:rsid w:val="00E03988"/>
    <w:rsid w:val="00E03B84"/>
    <w:rsid w:val="00E064D2"/>
    <w:rsid w:val="00E10208"/>
    <w:rsid w:val="00E10ECB"/>
    <w:rsid w:val="00E11539"/>
    <w:rsid w:val="00E12CEC"/>
    <w:rsid w:val="00E15D8F"/>
    <w:rsid w:val="00E160CF"/>
    <w:rsid w:val="00E201D8"/>
    <w:rsid w:val="00E23746"/>
    <w:rsid w:val="00E23A0F"/>
    <w:rsid w:val="00E269CF"/>
    <w:rsid w:val="00E26A5C"/>
    <w:rsid w:val="00E416FF"/>
    <w:rsid w:val="00E42BC7"/>
    <w:rsid w:val="00E548AB"/>
    <w:rsid w:val="00E55E8F"/>
    <w:rsid w:val="00E575C8"/>
    <w:rsid w:val="00E60B18"/>
    <w:rsid w:val="00E61068"/>
    <w:rsid w:val="00E64535"/>
    <w:rsid w:val="00E7227F"/>
    <w:rsid w:val="00E76EC5"/>
    <w:rsid w:val="00E83152"/>
    <w:rsid w:val="00E845D9"/>
    <w:rsid w:val="00E8722C"/>
    <w:rsid w:val="00E9775D"/>
    <w:rsid w:val="00EA2109"/>
    <w:rsid w:val="00EA3AC9"/>
    <w:rsid w:val="00EA40EA"/>
    <w:rsid w:val="00EA46AA"/>
    <w:rsid w:val="00EB0E8E"/>
    <w:rsid w:val="00EB2DBA"/>
    <w:rsid w:val="00EB45F8"/>
    <w:rsid w:val="00EB540E"/>
    <w:rsid w:val="00EB66FE"/>
    <w:rsid w:val="00EC1EA2"/>
    <w:rsid w:val="00EC31DF"/>
    <w:rsid w:val="00EC395E"/>
    <w:rsid w:val="00EC451F"/>
    <w:rsid w:val="00EC4F90"/>
    <w:rsid w:val="00EC6B67"/>
    <w:rsid w:val="00ED420C"/>
    <w:rsid w:val="00ED5BA6"/>
    <w:rsid w:val="00EE4742"/>
    <w:rsid w:val="00EE5269"/>
    <w:rsid w:val="00EF0986"/>
    <w:rsid w:val="00EF74E2"/>
    <w:rsid w:val="00F00971"/>
    <w:rsid w:val="00F02C88"/>
    <w:rsid w:val="00F05CD9"/>
    <w:rsid w:val="00F10156"/>
    <w:rsid w:val="00F10377"/>
    <w:rsid w:val="00F13A2F"/>
    <w:rsid w:val="00F1767A"/>
    <w:rsid w:val="00F2044F"/>
    <w:rsid w:val="00F2245A"/>
    <w:rsid w:val="00F22A75"/>
    <w:rsid w:val="00F24E6E"/>
    <w:rsid w:val="00F2579F"/>
    <w:rsid w:val="00F30453"/>
    <w:rsid w:val="00F30D48"/>
    <w:rsid w:val="00F31B76"/>
    <w:rsid w:val="00F31BFB"/>
    <w:rsid w:val="00F34049"/>
    <w:rsid w:val="00F37D97"/>
    <w:rsid w:val="00F43A29"/>
    <w:rsid w:val="00F43FE5"/>
    <w:rsid w:val="00F44F96"/>
    <w:rsid w:val="00F45B00"/>
    <w:rsid w:val="00F45F6B"/>
    <w:rsid w:val="00F46D8B"/>
    <w:rsid w:val="00F56209"/>
    <w:rsid w:val="00F56221"/>
    <w:rsid w:val="00F5733A"/>
    <w:rsid w:val="00F57F8C"/>
    <w:rsid w:val="00F61BBF"/>
    <w:rsid w:val="00F62843"/>
    <w:rsid w:val="00F62DD8"/>
    <w:rsid w:val="00F64986"/>
    <w:rsid w:val="00F74E93"/>
    <w:rsid w:val="00F7625F"/>
    <w:rsid w:val="00F76E3C"/>
    <w:rsid w:val="00F77DD5"/>
    <w:rsid w:val="00F80C1B"/>
    <w:rsid w:val="00F9081C"/>
    <w:rsid w:val="00F9281C"/>
    <w:rsid w:val="00F92F32"/>
    <w:rsid w:val="00F93B14"/>
    <w:rsid w:val="00F96934"/>
    <w:rsid w:val="00F96EBD"/>
    <w:rsid w:val="00FA1440"/>
    <w:rsid w:val="00FA2683"/>
    <w:rsid w:val="00FA4523"/>
    <w:rsid w:val="00FA6CC1"/>
    <w:rsid w:val="00FB2C18"/>
    <w:rsid w:val="00FB4C84"/>
    <w:rsid w:val="00FC0BA7"/>
    <w:rsid w:val="00FC0E38"/>
    <w:rsid w:val="00FC1D2E"/>
    <w:rsid w:val="00FC27C0"/>
    <w:rsid w:val="00FC5081"/>
    <w:rsid w:val="00FD2D89"/>
    <w:rsid w:val="00FD5EBD"/>
    <w:rsid w:val="00FD6654"/>
    <w:rsid w:val="00FD70FB"/>
    <w:rsid w:val="00FD7575"/>
    <w:rsid w:val="00FE7907"/>
    <w:rsid w:val="00FE7E6F"/>
    <w:rsid w:val="03D80E7B"/>
    <w:rsid w:val="04CE3C8E"/>
    <w:rsid w:val="04E200E6"/>
    <w:rsid w:val="050424CA"/>
    <w:rsid w:val="050D49B9"/>
    <w:rsid w:val="05DE3192"/>
    <w:rsid w:val="06621693"/>
    <w:rsid w:val="067A6A32"/>
    <w:rsid w:val="079C1362"/>
    <w:rsid w:val="0B2A6B36"/>
    <w:rsid w:val="0B8255BE"/>
    <w:rsid w:val="0C4A5998"/>
    <w:rsid w:val="0CEF6576"/>
    <w:rsid w:val="0D3A0E97"/>
    <w:rsid w:val="0E5230BB"/>
    <w:rsid w:val="0EFE36AD"/>
    <w:rsid w:val="0F9168CE"/>
    <w:rsid w:val="10081563"/>
    <w:rsid w:val="101C7FEE"/>
    <w:rsid w:val="10476088"/>
    <w:rsid w:val="10BB38F5"/>
    <w:rsid w:val="10E60255"/>
    <w:rsid w:val="12065420"/>
    <w:rsid w:val="12BB2BC5"/>
    <w:rsid w:val="16133B89"/>
    <w:rsid w:val="16EB4DDB"/>
    <w:rsid w:val="18F847F7"/>
    <w:rsid w:val="1DFA2B52"/>
    <w:rsid w:val="1E256F07"/>
    <w:rsid w:val="1FEE3CF8"/>
    <w:rsid w:val="20A6187C"/>
    <w:rsid w:val="21A30520"/>
    <w:rsid w:val="21C53DA1"/>
    <w:rsid w:val="22065116"/>
    <w:rsid w:val="2242710D"/>
    <w:rsid w:val="226D1818"/>
    <w:rsid w:val="22F06933"/>
    <w:rsid w:val="23756757"/>
    <w:rsid w:val="23B921BB"/>
    <w:rsid w:val="23FF72DC"/>
    <w:rsid w:val="24E74551"/>
    <w:rsid w:val="24ED0F3C"/>
    <w:rsid w:val="26EA65FA"/>
    <w:rsid w:val="27A530FF"/>
    <w:rsid w:val="28282588"/>
    <w:rsid w:val="28592675"/>
    <w:rsid w:val="289F4E24"/>
    <w:rsid w:val="28A2077D"/>
    <w:rsid w:val="2A8F15DA"/>
    <w:rsid w:val="2DD86E85"/>
    <w:rsid w:val="2F5B0460"/>
    <w:rsid w:val="30D878E9"/>
    <w:rsid w:val="31806F5D"/>
    <w:rsid w:val="32610E0B"/>
    <w:rsid w:val="327C7804"/>
    <w:rsid w:val="335B5127"/>
    <w:rsid w:val="341759C4"/>
    <w:rsid w:val="35796851"/>
    <w:rsid w:val="36FD2DD3"/>
    <w:rsid w:val="38175084"/>
    <w:rsid w:val="3865746A"/>
    <w:rsid w:val="38BD0A38"/>
    <w:rsid w:val="39A04F24"/>
    <w:rsid w:val="39F960F3"/>
    <w:rsid w:val="3C795CC8"/>
    <w:rsid w:val="3CB20F52"/>
    <w:rsid w:val="3D454BBE"/>
    <w:rsid w:val="3DFB414F"/>
    <w:rsid w:val="40654DC9"/>
    <w:rsid w:val="416C3E2B"/>
    <w:rsid w:val="45284B65"/>
    <w:rsid w:val="47A77017"/>
    <w:rsid w:val="47B47B50"/>
    <w:rsid w:val="48CA7111"/>
    <w:rsid w:val="49FE0A42"/>
    <w:rsid w:val="4AF97C8A"/>
    <w:rsid w:val="4DD33D73"/>
    <w:rsid w:val="4F0D397C"/>
    <w:rsid w:val="4FC92144"/>
    <w:rsid w:val="4FD556EB"/>
    <w:rsid w:val="5053279D"/>
    <w:rsid w:val="513919F4"/>
    <w:rsid w:val="52593D69"/>
    <w:rsid w:val="5264443B"/>
    <w:rsid w:val="544A30BA"/>
    <w:rsid w:val="54D26E84"/>
    <w:rsid w:val="55180530"/>
    <w:rsid w:val="55826642"/>
    <w:rsid w:val="57376166"/>
    <w:rsid w:val="57C85D43"/>
    <w:rsid w:val="5852033D"/>
    <w:rsid w:val="58A25699"/>
    <w:rsid w:val="58E941AE"/>
    <w:rsid w:val="591B3827"/>
    <w:rsid w:val="5A082B67"/>
    <w:rsid w:val="5A3F7CF4"/>
    <w:rsid w:val="5A8F1D77"/>
    <w:rsid w:val="5AEE1C5E"/>
    <w:rsid w:val="5AF86D59"/>
    <w:rsid w:val="5B5B438E"/>
    <w:rsid w:val="5CB352B3"/>
    <w:rsid w:val="5CFA419A"/>
    <w:rsid w:val="5D3B3E50"/>
    <w:rsid w:val="5E0D4662"/>
    <w:rsid w:val="5E247423"/>
    <w:rsid w:val="5E8859F6"/>
    <w:rsid w:val="5F0803C1"/>
    <w:rsid w:val="5F4836B1"/>
    <w:rsid w:val="604770E8"/>
    <w:rsid w:val="61FE1223"/>
    <w:rsid w:val="6367602F"/>
    <w:rsid w:val="64B4267E"/>
    <w:rsid w:val="64BF6B3C"/>
    <w:rsid w:val="66771405"/>
    <w:rsid w:val="67EC3833"/>
    <w:rsid w:val="6A804A61"/>
    <w:rsid w:val="6E7F0F39"/>
    <w:rsid w:val="72410B25"/>
    <w:rsid w:val="728F25E6"/>
    <w:rsid w:val="72B94E2A"/>
    <w:rsid w:val="72FE5330"/>
    <w:rsid w:val="73F2694A"/>
    <w:rsid w:val="7448055B"/>
    <w:rsid w:val="745D4912"/>
    <w:rsid w:val="75C009D5"/>
    <w:rsid w:val="79503603"/>
    <w:rsid w:val="79C53428"/>
    <w:rsid w:val="79D443FF"/>
    <w:rsid w:val="7A057BBA"/>
    <w:rsid w:val="7B2578ED"/>
    <w:rsid w:val="7B4C1868"/>
    <w:rsid w:val="7C5D0BDD"/>
    <w:rsid w:val="7C8151AD"/>
    <w:rsid w:val="7D34239E"/>
    <w:rsid w:val="7D4B4936"/>
    <w:rsid w:val="7D6B78D7"/>
    <w:rsid w:val="7D6C3B6A"/>
    <w:rsid w:val="7E510AFC"/>
    <w:rsid w:val="7F7865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100"/>
      <w:ind w:firstLine="708"/>
      <w:contextualSpacing/>
      <w:jc w:val="both"/>
    </w:pPr>
    <w:rPr>
      <w:rFonts w:ascii="Times New Roman" w:hAnsi="Times New Roman" w:eastAsia="Times New Roman" w:cs="Times New Roman"/>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rFonts w:cs="Times New Roman"/>
      <w:color w:val="0000FF"/>
      <w:u w:val="single"/>
    </w:rPr>
  </w:style>
  <w:style w:type="paragraph" w:styleId="5">
    <w:name w:val="Balloon Text"/>
    <w:basedOn w:val="1"/>
    <w:link w:val="13"/>
    <w:unhideWhenUsed/>
    <w:qFormat/>
    <w:uiPriority w:val="99"/>
    <w:rPr>
      <w:rFonts w:ascii="Tahoma" w:hAnsi="Tahoma" w:eastAsia="Calibri"/>
      <w:sz w:val="16"/>
      <w:szCs w:val="16"/>
      <w:lang w:eastAsia="en-US"/>
    </w:rPr>
  </w:style>
  <w:style w:type="paragraph" w:styleId="6">
    <w:name w:val="header"/>
    <w:basedOn w:val="1"/>
    <w:link w:val="14"/>
    <w:qFormat/>
    <w:uiPriority w:val="99"/>
    <w:pPr>
      <w:tabs>
        <w:tab w:val="center" w:pos="4677"/>
        <w:tab w:val="right" w:pos="9355"/>
      </w:tabs>
    </w:pPr>
  </w:style>
  <w:style w:type="paragraph" w:styleId="7">
    <w:name w:val="Body Text"/>
    <w:basedOn w:val="1"/>
    <w:link w:val="15"/>
    <w:qFormat/>
    <w:uiPriority w:val="0"/>
    <w:pPr>
      <w:suppressAutoHyphens/>
      <w:spacing w:after="120" w:line="276" w:lineRule="auto"/>
      <w:ind w:firstLine="0"/>
      <w:jc w:val="left"/>
    </w:pPr>
    <w:rPr>
      <w:rFonts w:ascii="Calibri" w:hAnsi="Calibri" w:eastAsia="Calibri" w:cs="Calibri"/>
      <w:sz w:val="22"/>
      <w:szCs w:val="22"/>
      <w:lang w:eastAsia="ar-SA"/>
    </w:rPr>
  </w:style>
  <w:style w:type="paragraph" w:styleId="8">
    <w:name w:val="Body Text Indent"/>
    <w:basedOn w:val="1"/>
    <w:link w:val="16"/>
    <w:qFormat/>
    <w:uiPriority w:val="0"/>
    <w:pPr>
      <w:spacing w:after="120"/>
      <w:ind w:left="283"/>
    </w:pPr>
    <w:rPr>
      <w:sz w:val="24"/>
    </w:rPr>
  </w:style>
  <w:style w:type="paragraph" w:styleId="9">
    <w:name w:val="footer"/>
    <w:basedOn w:val="1"/>
    <w:link w:val="17"/>
    <w:qFormat/>
    <w:uiPriority w:val="99"/>
    <w:pPr>
      <w:tabs>
        <w:tab w:val="center" w:pos="4677"/>
        <w:tab w:val="right" w:pos="9355"/>
      </w:tabs>
    </w:pPr>
  </w:style>
  <w:style w:type="paragraph" w:styleId="10">
    <w:name w:val="List"/>
    <w:basedOn w:val="7"/>
    <w:qFormat/>
    <w:uiPriority w:val="0"/>
    <w:rPr>
      <w:rFonts w:cs="Tahoma"/>
    </w:rPr>
  </w:style>
  <w:style w:type="paragraph" w:styleId="11">
    <w:name w:val="Normal (Web)"/>
    <w:basedOn w:val="1"/>
    <w:unhideWhenUsed/>
    <w:qFormat/>
    <w:uiPriority w:val="99"/>
    <w:pPr>
      <w:spacing w:before="100" w:beforeAutospacing="1" w:afterAutospacing="1"/>
      <w:ind w:firstLine="0"/>
      <w:jc w:val="left"/>
    </w:pPr>
    <w:rPr>
      <w:sz w:val="24"/>
    </w:rPr>
  </w:style>
  <w:style w:type="table" w:styleId="12">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Текст выноски Знак"/>
    <w:link w:val="5"/>
    <w:qFormat/>
    <w:uiPriority w:val="99"/>
    <w:rPr>
      <w:rFonts w:ascii="Tahoma" w:hAnsi="Tahoma" w:eastAsia="Calibri" w:cs="Tahoma"/>
      <w:sz w:val="16"/>
      <w:szCs w:val="16"/>
      <w:lang w:eastAsia="en-US"/>
    </w:rPr>
  </w:style>
  <w:style w:type="character" w:customStyle="1" w:styleId="14">
    <w:name w:val="Верхний колонтитул Знак"/>
    <w:link w:val="6"/>
    <w:qFormat/>
    <w:uiPriority w:val="99"/>
    <w:rPr>
      <w:sz w:val="28"/>
      <w:szCs w:val="24"/>
    </w:rPr>
  </w:style>
  <w:style w:type="character" w:customStyle="1" w:styleId="15">
    <w:name w:val="Основной текст Знак"/>
    <w:link w:val="7"/>
    <w:qFormat/>
    <w:uiPriority w:val="0"/>
    <w:rPr>
      <w:rFonts w:ascii="Calibri" w:hAnsi="Calibri" w:eastAsia="Calibri" w:cs="Calibri"/>
      <w:sz w:val="22"/>
      <w:szCs w:val="22"/>
      <w:lang w:eastAsia="ar-SA"/>
    </w:rPr>
  </w:style>
  <w:style w:type="character" w:customStyle="1" w:styleId="16">
    <w:name w:val="Основной текст с отступом Знак1"/>
    <w:link w:val="8"/>
    <w:qFormat/>
    <w:uiPriority w:val="0"/>
    <w:rPr>
      <w:sz w:val="24"/>
      <w:szCs w:val="24"/>
    </w:rPr>
  </w:style>
  <w:style w:type="character" w:customStyle="1" w:styleId="17">
    <w:name w:val="Нижний колонтитул Знак"/>
    <w:link w:val="9"/>
    <w:qFormat/>
    <w:uiPriority w:val="99"/>
    <w:rPr>
      <w:sz w:val="28"/>
      <w:szCs w:val="24"/>
    </w:rPr>
  </w:style>
  <w:style w:type="character" w:customStyle="1" w:styleId="18">
    <w:name w:val="WW8Num12z1"/>
    <w:qFormat/>
    <w:uiPriority w:val="0"/>
    <w:rPr>
      <w:rFonts w:ascii="Courier New" w:hAnsi="Courier New" w:cs="Courier New"/>
    </w:rPr>
  </w:style>
  <w:style w:type="character" w:customStyle="1" w:styleId="19">
    <w:name w:val="WW8Num4z0"/>
    <w:qFormat/>
    <w:uiPriority w:val="0"/>
    <w:rPr>
      <w:rFonts w:ascii="Symbol" w:hAnsi="Symbol"/>
    </w:rPr>
  </w:style>
  <w:style w:type="character" w:customStyle="1" w:styleId="20">
    <w:name w:val="Основной шрифт абзаца1"/>
    <w:qFormat/>
    <w:uiPriority w:val="0"/>
  </w:style>
  <w:style w:type="character" w:customStyle="1" w:styleId="21">
    <w:name w:val="WW8Num13z0"/>
    <w:qFormat/>
    <w:uiPriority w:val="0"/>
    <w:rPr>
      <w:rFonts w:ascii="Symbol" w:hAnsi="Symbol"/>
    </w:rPr>
  </w:style>
  <w:style w:type="character" w:customStyle="1" w:styleId="22">
    <w:name w:val="WW8Num7z0"/>
    <w:qFormat/>
    <w:uiPriority w:val="0"/>
    <w:rPr>
      <w:rFonts w:ascii="Symbol" w:hAnsi="Symbol"/>
    </w:rPr>
  </w:style>
  <w:style w:type="character" w:customStyle="1" w:styleId="23">
    <w:name w:val="apple-converted-space"/>
    <w:qFormat/>
    <w:uiPriority w:val="0"/>
    <w:rPr>
      <w:rFonts w:cs="Times New Roman"/>
    </w:rPr>
  </w:style>
  <w:style w:type="character" w:customStyle="1" w:styleId="24">
    <w:name w:val="WW8Num7z1"/>
    <w:qFormat/>
    <w:uiPriority w:val="0"/>
    <w:rPr>
      <w:rFonts w:ascii="Courier New" w:hAnsi="Courier New" w:cs="Courier New"/>
    </w:rPr>
  </w:style>
  <w:style w:type="character" w:customStyle="1" w:styleId="25">
    <w:name w:val="Основной текст с отступом Знак"/>
    <w:qFormat/>
    <w:uiPriority w:val="0"/>
    <w:rPr>
      <w:sz w:val="24"/>
      <w:szCs w:val="24"/>
    </w:rPr>
  </w:style>
  <w:style w:type="character" w:customStyle="1" w:styleId="26">
    <w:name w:val="WW8Num12z0"/>
    <w:qFormat/>
    <w:uiPriority w:val="0"/>
    <w:rPr>
      <w:rFonts w:ascii="Symbol" w:hAnsi="Symbol"/>
    </w:rPr>
  </w:style>
  <w:style w:type="character" w:customStyle="1" w:styleId="27">
    <w:name w:val="WW8Num13z2"/>
    <w:qFormat/>
    <w:uiPriority w:val="0"/>
    <w:rPr>
      <w:rFonts w:ascii="Wingdings" w:hAnsi="Wingdings"/>
    </w:rPr>
  </w:style>
  <w:style w:type="character" w:customStyle="1" w:styleId="28">
    <w:name w:val="WW8Num4z1"/>
    <w:qFormat/>
    <w:uiPriority w:val="0"/>
    <w:rPr>
      <w:rFonts w:ascii="Courier New" w:hAnsi="Courier New" w:cs="Courier New"/>
    </w:rPr>
  </w:style>
  <w:style w:type="character" w:customStyle="1" w:styleId="29">
    <w:name w:val="WW8Num7z2"/>
    <w:qFormat/>
    <w:uiPriority w:val="0"/>
    <w:rPr>
      <w:rFonts w:ascii="Wingdings" w:hAnsi="Wingdings"/>
    </w:rPr>
  </w:style>
  <w:style w:type="character" w:customStyle="1" w:styleId="30">
    <w:name w:val="Интернет-ссылка"/>
    <w:qFormat/>
    <w:uiPriority w:val="0"/>
    <w:rPr>
      <w:color w:val="000080"/>
      <w:u w:val="single"/>
      <w:lang w:val="ru-RU" w:eastAsia="ru-RU" w:bidi="ru-RU"/>
    </w:rPr>
  </w:style>
  <w:style w:type="character" w:customStyle="1" w:styleId="31">
    <w:name w:val="WW8Num13z1"/>
    <w:qFormat/>
    <w:uiPriority w:val="0"/>
    <w:rPr>
      <w:rFonts w:ascii="Courier New" w:hAnsi="Courier New" w:cs="Courier New"/>
    </w:rPr>
  </w:style>
  <w:style w:type="character" w:customStyle="1" w:styleId="32">
    <w:name w:val="WW8Num4z2"/>
    <w:qFormat/>
    <w:uiPriority w:val="0"/>
    <w:rPr>
      <w:rFonts w:ascii="Wingdings" w:hAnsi="Wingdings"/>
    </w:rPr>
  </w:style>
  <w:style w:type="character" w:customStyle="1" w:styleId="33">
    <w:name w:val="WW8Num12z2"/>
    <w:qFormat/>
    <w:uiPriority w:val="0"/>
    <w:rPr>
      <w:rFonts w:ascii="Wingdings" w:hAnsi="Wingdings"/>
    </w:rPr>
  </w:style>
  <w:style w:type="paragraph" w:customStyle="1" w:styleId="34">
    <w:name w:val="Заголовок таблицы"/>
    <w:basedOn w:val="35"/>
    <w:qFormat/>
    <w:uiPriority w:val="0"/>
    <w:pPr>
      <w:jc w:val="center"/>
    </w:pPr>
    <w:rPr>
      <w:b/>
      <w:bCs/>
    </w:rPr>
  </w:style>
  <w:style w:type="paragraph" w:customStyle="1" w:styleId="35">
    <w:name w:val="Содержимое таблицы"/>
    <w:basedOn w:val="1"/>
    <w:qFormat/>
    <w:uiPriority w:val="0"/>
    <w:pPr>
      <w:suppressLineNumbers/>
      <w:suppressAutoHyphens/>
      <w:spacing w:after="200" w:line="276" w:lineRule="auto"/>
      <w:ind w:firstLine="0"/>
      <w:jc w:val="left"/>
    </w:pPr>
    <w:rPr>
      <w:rFonts w:ascii="Calibri" w:hAnsi="Calibri" w:eastAsia="Calibri" w:cs="Calibri"/>
      <w:sz w:val="22"/>
      <w:szCs w:val="22"/>
      <w:lang w:eastAsia="ar-SA"/>
    </w:rPr>
  </w:style>
  <w:style w:type="paragraph" w:customStyle="1" w:styleId="36">
    <w:name w:val="ConsNormal"/>
    <w:qFormat/>
    <w:uiPriority w:val="0"/>
    <w:pPr>
      <w:widowControl w:val="0"/>
      <w:suppressAutoHyphens/>
      <w:autoSpaceDE w:val="0"/>
      <w:ind w:right="19772" w:firstLine="720"/>
    </w:pPr>
    <w:rPr>
      <w:rFonts w:ascii="Arial" w:hAnsi="Arial" w:eastAsia="Arial" w:cs="Arial"/>
      <w:lang w:val="ru-RU" w:eastAsia="ar-SA" w:bidi="ar-SA"/>
    </w:rPr>
  </w:style>
  <w:style w:type="paragraph" w:styleId="37">
    <w:name w:val="List Paragraph"/>
    <w:basedOn w:val="1"/>
    <w:qFormat/>
    <w:uiPriority w:val="34"/>
    <w:pPr>
      <w:spacing w:after="0"/>
      <w:ind w:left="720" w:firstLine="0"/>
      <w:jc w:val="left"/>
    </w:pPr>
    <w:rPr>
      <w:sz w:val="24"/>
    </w:rPr>
  </w:style>
  <w:style w:type="paragraph" w:customStyle="1" w:styleId="38">
    <w:name w:val="ConsPlusNormal"/>
    <w:qFormat/>
    <w:uiPriority w:val="0"/>
    <w:pPr>
      <w:autoSpaceDE w:val="0"/>
      <w:autoSpaceDN w:val="0"/>
      <w:adjustRightInd w:val="0"/>
      <w:ind w:firstLine="720"/>
    </w:pPr>
    <w:rPr>
      <w:rFonts w:ascii="Arial" w:hAnsi="Arial" w:eastAsia="Times New Roman" w:cs="Arial"/>
      <w:lang w:val="ru-RU" w:eastAsia="ru-RU" w:bidi="ar-SA"/>
    </w:rPr>
  </w:style>
  <w:style w:type="paragraph" w:customStyle="1" w:styleId="39">
    <w:name w:val="Название1"/>
    <w:basedOn w:val="1"/>
    <w:qFormat/>
    <w:uiPriority w:val="0"/>
    <w:pPr>
      <w:suppressLineNumbers/>
      <w:suppressAutoHyphens/>
      <w:spacing w:before="120" w:after="120" w:line="276" w:lineRule="auto"/>
      <w:ind w:firstLine="0"/>
      <w:jc w:val="left"/>
    </w:pPr>
    <w:rPr>
      <w:rFonts w:ascii="Calibri" w:hAnsi="Calibri" w:eastAsia="Calibri" w:cs="Tahoma"/>
      <w:i/>
      <w:iCs/>
      <w:sz w:val="24"/>
      <w:lang w:eastAsia="ar-SA"/>
    </w:rPr>
  </w:style>
  <w:style w:type="paragraph" w:customStyle="1" w:styleId="40">
    <w:name w:val="Указатель1"/>
    <w:basedOn w:val="1"/>
    <w:qFormat/>
    <w:uiPriority w:val="0"/>
    <w:pPr>
      <w:suppressLineNumbers/>
      <w:suppressAutoHyphens/>
      <w:spacing w:after="200" w:line="276" w:lineRule="auto"/>
      <w:ind w:firstLine="0"/>
      <w:jc w:val="left"/>
    </w:pPr>
    <w:rPr>
      <w:rFonts w:ascii="Calibri" w:hAnsi="Calibri" w:eastAsia="Calibri" w:cs="Tahoma"/>
      <w:sz w:val="22"/>
      <w:szCs w:val="22"/>
      <w:lang w:eastAsia="ar-SA"/>
    </w:rPr>
  </w:style>
  <w:style w:type="paragraph" w:customStyle="1" w:styleId="41">
    <w:name w:val="Базовый"/>
    <w:qFormat/>
    <w:uiPriority w:val="0"/>
    <w:pPr>
      <w:suppressAutoHyphens/>
      <w:spacing w:after="200" w:line="276" w:lineRule="auto"/>
    </w:pPr>
    <w:rPr>
      <w:rFonts w:ascii="Calibri" w:hAnsi="Calibri" w:eastAsia="SimSun" w:cs="Calibri"/>
      <w:sz w:val="22"/>
      <w:szCs w:val="22"/>
      <w:lang w:val="ru-RU" w:eastAsia="en-US" w:bidi="ar-SA"/>
    </w:rPr>
  </w:style>
  <w:style w:type="paragraph" w:customStyle="1" w:styleId="42">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43">
    <w:name w:val="WW-Базовый"/>
    <w:qFormat/>
    <w:uiPriority w:val="0"/>
    <w:pPr>
      <w:suppressAutoHyphens/>
      <w:spacing w:after="200" w:line="276" w:lineRule="auto"/>
    </w:pPr>
    <w:rPr>
      <w:rFonts w:ascii="Calibri" w:hAnsi="Calibri" w:eastAsia="SimSun" w:cs="Calibri"/>
      <w:sz w:val="22"/>
      <w:szCs w:val="22"/>
      <w:lang w:val="ru-RU" w:eastAsia="ar-SA" w:bidi="ar-SA"/>
    </w:rPr>
  </w:style>
  <w:style w:type="paragraph" w:customStyle="1" w:styleId="44">
    <w:name w:val="Заголовок"/>
    <w:basedOn w:val="1"/>
    <w:next w:val="7"/>
    <w:qFormat/>
    <w:uiPriority w:val="0"/>
    <w:pPr>
      <w:keepNext/>
      <w:suppressAutoHyphens/>
      <w:spacing w:before="240" w:after="120" w:line="276" w:lineRule="auto"/>
      <w:ind w:firstLine="0"/>
      <w:jc w:val="left"/>
    </w:pPr>
    <w:rPr>
      <w:rFonts w:ascii="Arial" w:hAnsi="Arial" w:eastAsia="MS Mincho" w:cs="Tahoma"/>
      <w:szCs w:val="28"/>
      <w:lang w:eastAsia="ar-SA"/>
    </w:rPr>
  </w:style>
  <w:style w:type="paragraph" w:customStyle="1" w:styleId="45">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customStyle="1" w:styleId="46">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47">
    <w:name w:val="s_16"/>
    <w:basedOn w:val="1"/>
    <w:qFormat/>
    <w:uiPriority w:val="0"/>
    <w:pPr>
      <w:spacing w:before="100" w:beforeAutospacing="1" w:afterAutospacing="1"/>
    </w:pPr>
  </w:style>
  <w:style w:type="paragraph" w:customStyle="1" w:styleId="48">
    <w:name w:val="Содержимое врезки"/>
    <w:basedOn w:val="7"/>
    <w:qFormat/>
    <w:uiPriority w:val="0"/>
  </w:style>
  <w:style w:type="table" w:customStyle="1" w:styleId="49">
    <w:name w:val="Сетка таблицы1"/>
    <w:basedOn w:val="3"/>
    <w:qFormat/>
    <w:uiPriority w:val="5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TableGrid"/>
    <w:qFormat/>
    <w:uiPriority w:val="0"/>
    <w:rPr>
      <w:rFonts w:ascii="Calibri" w:hAnsi="Calibri" w:eastAsia="SimSun" w:cs="Times New Roman"/>
      <w:sz w:val="22"/>
      <w:szCs w:val="22"/>
    </w:rPr>
    <w:tblPr>
      <w:tblCellMar>
        <w:top w:w="0" w:type="dxa"/>
        <w:left w:w="0" w:type="dxa"/>
        <w:bottom w:w="0" w:type="dxa"/>
        <w:right w:w="0" w:type="dxa"/>
      </w:tblCellMar>
    </w:tblPr>
  </w:style>
  <w:style w:type="character" w:customStyle="1" w:styleId="51">
    <w:name w:val="font11"/>
    <w:qFormat/>
    <w:uiPriority w:val="0"/>
    <w:rPr>
      <w:rFonts w:hint="default" w:ascii="Times New Roman" w:hAnsi="Times New Roman" w:cs="Times New Roman"/>
      <w:color w:val="000000"/>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26</Pages>
  <Words>4255</Words>
  <Characters>33434</Characters>
  <Lines>278</Lines>
  <Paragraphs>75</Paragraphs>
  <TotalTime>16</TotalTime>
  <ScaleCrop>false</ScaleCrop>
  <LinksUpToDate>false</LinksUpToDate>
  <CharactersWithSpaces>37614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2020-08-11T05:44:00Z</dcterms:created>
  <dc:creator>ЦБС</dc:creator>
  <cp:lastModifiedBy>Начальник</cp:lastModifiedBy>
  <cp:lastPrinted>2026-04-24T05:33:52Z</cp:lastPrinted>
  <dcterms:modified xsi:type="dcterms:W3CDTF">2026-04-24T05:37:12Z</dcterms:modified>
  <dc:title>ПРАВИТЕЛЬСТВО КИРОВСКОЙ ОБЛАСТИ</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DF8441F013BD4CFC96166D6EA802C308_13</vt:lpwstr>
  </property>
</Properties>
</file>