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86" w:rsidRDefault="00717B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488"/>
        <w:tblW w:w="9747" w:type="dxa"/>
        <w:tblLayout w:type="fixed"/>
        <w:tblLook w:val="0000"/>
      </w:tblPr>
      <w:tblGrid>
        <w:gridCol w:w="9747"/>
      </w:tblGrid>
      <w:tr w:rsidR="00203586">
        <w:trPr>
          <w:trHeight w:val="33"/>
        </w:trPr>
        <w:tc>
          <w:tcPr>
            <w:tcW w:w="9747" w:type="dxa"/>
            <w:shd w:val="clear" w:color="auto" w:fill="auto"/>
          </w:tcPr>
          <w:p w:rsidR="00203586" w:rsidRDefault="00717B0A">
            <w:pPr>
              <w:pStyle w:val="Iioaioo"/>
              <w:tabs>
                <w:tab w:val="left" w:pos="708"/>
                <w:tab w:val="center" w:pos="4677"/>
                <w:tab w:val="right" w:pos="9612"/>
              </w:tabs>
              <w:spacing w:before="360" w:after="360"/>
              <w:ind w:right="-108"/>
              <w:rPr>
                <w:szCs w:val="28"/>
              </w:rPr>
            </w:pPr>
            <w:r>
              <w:rPr>
                <w:szCs w:val="28"/>
              </w:rPr>
              <w:t>АДМИНИСТРАЦИЯ ЛЕБЯЖСКОГО МУНИЦИПАЛЬНОГО ОКРУГА КИРОВСКОЙ ОБЛАСТИ</w:t>
            </w:r>
          </w:p>
          <w:p w:rsidR="00203586" w:rsidRDefault="00717B0A">
            <w:pPr>
              <w:pStyle w:val="Iioaioo"/>
              <w:tabs>
                <w:tab w:val="left" w:pos="708"/>
                <w:tab w:val="center" w:pos="4677"/>
                <w:tab w:val="right" w:pos="9612"/>
              </w:tabs>
              <w:spacing w:before="360" w:after="360"/>
              <w:ind w:right="-108"/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203586">
        <w:tblPrEx>
          <w:tblCellMar>
            <w:left w:w="0" w:type="dxa"/>
            <w:right w:w="0" w:type="dxa"/>
          </w:tblCellMar>
        </w:tblPrEx>
        <w:trPr>
          <w:trHeight w:val="18"/>
        </w:trPr>
        <w:tc>
          <w:tcPr>
            <w:tcW w:w="9747" w:type="dxa"/>
            <w:shd w:val="clear" w:color="auto" w:fill="auto"/>
          </w:tcPr>
          <w:p w:rsidR="00203586" w:rsidRDefault="00717B0A" w:rsidP="00AE3E19">
            <w:pPr>
              <w:snapToGrid w:val="0"/>
              <w:rPr>
                <w:rFonts w:ascii="Times New Roman" w:hAnsi="Times New Roman" w:cs="Times New Roman"/>
                <w:position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    </w:t>
            </w:r>
            <w:r w:rsidR="00AE3E19">
              <w:rPr>
                <w:rFonts w:ascii="Times New Roman" w:hAnsi="Times New Roman" w:cs="Times New Roman"/>
                <w:position w:val="-5"/>
                <w:sz w:val="28"/>
                <w:szCs w:val="28"/>
                <w:u w:val="single"/>
              </w:rPr>
              <w:t>28.12.2024</w:t>
            </w:r>
            <w:r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                                 </w:t>
            </w:r>
            <w:r w:rsidR="00AE3E19"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 </w:t>
            </w:r>
            <w:r w:rsidR="00AE3E19"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                     </w:t>
            </w:r>
            <w:r w:rsidR="00AE3E19"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position w:val="-5"/>
                <w:sz w:val="28"/>
                <w:szCs w:val="28"/>
                <w:u w:val="single"/>
              </w:rPr>
              <w:t xml:space="preserve">№ </w:t>
            </w:r>
            <w:r w:rsidR="00AE3E19"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918</w:t>
            </w:r>
            <w:r>
              <w:rPr>
                <w:rFonts w:ascii="Times New Roman" w:hAnsi="Times New Roman" w:cs="Times New Roman"/>
                <w:position w:val="-5"/>
                <w:sz w:val="28"/>
                <w:szCs w:val="28"/>
              </w:rPr>
              <w:t xml:space="preserve">               </w:t>
            </w:r>
          </w:p>
        </w:tc>
      </w:tr>
      <w:tr w:rsidR="00203586">
        <w:tblPrEx>
          <w:tblCellMar>
            <w:left w:w="70" w:type="dxa"/>
            <w:right w:w="70" w:type="dxa"/>
          </w:tblCellMar>
        </w:tblPrEx>
        <w:trPr>
          <w:trHeight w:val="1453"/>
        </w:trPr>
        <w:tc>
          <w:tcPr>
            <w:tcW w:w="9747" w:type="dxa"/>
            <w:shd w:val="clear" w:color="auto" w:fill="auto"/>
          </w:tcPr>
          <w:p w:rsidR="00203586" w:rsidRDefault="00717B0A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пгт Лебяжье</w:t>
            </w:r>
          </w:p>
          <w:p w:rsidR="00203586" w:rsidRDefault="00717B0A" w:rsidP="00726A2C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установлении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предельного уровня платы за холодное водоснабжение с 01 января 202</w:t>
            </w:r>
            <w:r w:rsidR="00767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31 декабря 202</w:t>
            </w:r>
            <w:r w:rsidR="00767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203586" w:rsidRDefault="00717B0A" w:rsidP="00E564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5C43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Указом Губернатора Кировской области от 13.12.2023  № 167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с 1 января 2024 года по 31 декабря 2028 года», постановлением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</w:t>
      </w:r>
      <w:proofErr w:type="gramEnd"/>
      <w:r w:rsidRPr="00B8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 с утвержденными в установленном порядке предельными индексами» администрация Лебяжского муниципального округа ПОСТАНОВЛЯЕТ:</w:t>
      </w:r>
    </w:p>
    <w:p w:rsidR="00EA2EEB" w:rsidRDefault="0082773F" w:rsidP="00E564D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A2EEB">
        <w:rPr>
          <w:rFonts w:ascii="Times New Roman" w:hAnsi="Times New Roman" w:cs="Times New Roman"/>
          <w:bCs/>
          <w:sz w:val="28"/>
          <w:szCs w:val="28"/>
        </w:rPr>
        <w:t>.</w:t>
      </w:r>
      <w:r w:rsidR="00726A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EEB" w:rsidRPr="00EA2EEB">
        <w:rPr>
          <w:rFonts w:ascii="Times New Roman" w:hAnsi="Times New Roman" w:cs="Times New Roman"/>
          <w:bCs/>
          <w:sz w:val="28"/>
          <w:szCs w:val="28"/>
        </w:rPr>
        <w:t xml:space="preserve">Установить предельный уровень платы </w:t>
      </w:r>
      <w:r w:rsidR="00EA2EEB" w:rsidRPr="00EA2EEB">
        <w:rPr>
          <w:rFonts w:ascii="Times New Roman" w:hAnsi="Times New Roman" w:cs="Times New Roman"/>
          <w:sz w:val="28"/>
          <w:szCs w:val="28"/>
        </w:rPr>
        <w:t>за холодное водоснабжение</w:t>
      </w:r>
      <w:r w:rsidR="00EA2EEB" w:rsidRPr="00EA2EEB">
        <w:rPr>
          <w:rFonts w:ascii="Times New Roman" w:hAnsi="Times New Roman" w:cs="Times New Roman"/>
          <w:bCs/>
          <w:sz w:val="28"/>
          <w:szCs w:val="28"/>
        </w:rPr>
        <w:t xml:space="preserve"> с 01</w:t>
      </w:r>
      <w:r w:rsidR="00184A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EEB" w:rsidRPr="00EA2EEB">
        <w:rPr>
          <w:rFonts w:ascii="Times New Roman" w:hAnsi="Times New Roman" w:cs="Times New Roman"/>
          <w:bCs/>
          <w:sz w:val="28"/>
          <w:szCs w:val="28"/>
        </w:rPr>
        <w:t>января 202</w:t>
      </w:r>
      <w:r w:rsidR="007671DF" w:rsidRPr="00EA2EEB">
        <w:rPr>
          <w:rFonts w:ascii="Times New Roman" w:hAnsi="Times New Roman" w:cs="Times New Roman"/>
          <w:bCs/>
          <w:sz w:val="28"/>
          <w:szCs w:val="28"/>
        </w:rPr>
        <w:t>5</w:t>
      </w:r>
      <w:r w:rsidR="00EA2EEB" w:rsidRPr="00EA2EEB">
        <w:rPr>
          <w:rFonts w:ascii="Times New Roman" w:hAnsi="Times New Roman" w:cs="Times New Roman"/>
          <w:bCs/>
          <w:sz w:val="28"/>
          <w:szCs w:val="28"/>
        </w:rPr>
        <w:t xml:space="preserve"> по 31</w:t>
      </w:r>
      <w:r w:rsidR="00184A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EEB" w:rsidRPr="00EA2EEB">
        <w:rPr>
          <w:rFonts w:ascii="Times New Roman" w:hAnsi="Times New Roman" w:cs="Times New Roman"/>
          <w:bCs/>
          <w:sz w:val="28"/>
          <w:szCs w:val="28"/>
        </w:rPr>
        <w:t>декабря 202</w:t>
      </w:r>
      <w:r w:rsidR="007671DF" w:rsidRPr="00EA2EEB">
        <w:rPr>
          <w:rFonts w:ascii="Times New Roman" w:hAnsi="Times New Roman" w:cs="Times New Roman"/>
          <w:bCs/>
          <w:sz w:val="28"/>
          <w:szCs w:val="28"/>
        </w:rPr>
        <w:t>5</w:t>
      </w:r>
      <w:r w:rsidR="00EA2EEB" w:rsidRPr="00EA2EE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EA2EEB" w:rsidRPr="00EA2EE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2773F" w:rsidRDefault="0082773F" w:rsidP="0082773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A2EEB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</w:t>
      </w:r>
      <w:r w:rsidRPr="00EA2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Лебяжского муниципального округа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10.01.2024</w:t>
      </w:r>
      <w:r w:rsidRPr="00EA2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A2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 установлении  предельного уровня платы за холодное водоснабжение с 01 января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A2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31 декабря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A2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года».</w:t>
      </w:r>
    </w:p>
    <w:p w:rsidR="00203586" w:rsidRDefault="00EA2EEB" w:rsidP="00E564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93F7F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EEB" w:rsidRDefault="00EA2EEB" w:rsidP="00E564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E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17B0A" w:rsidRPr="00EA2EEB">
        <w:rPr>
          <w:rFonts w:ascii="Times New Roman" w:hAnsi="Times New Roman" w:cs="Times New Roman"/>
          <w:sz w:val="28"/>
          <w:szCs w:val="28"/>
        </w:rPr>
        <w:t>.</w:t>
      </w:r>
      <w:r w:rsidR="00726A2C">
        <w:rPr>
          <w:rFonts w:ascii="Times New Roman" w:hAnsi="Times New Roman" w:cs="Times New Roman"/>
          <w:sz w:val="28"/>
          <w:szCs w:val="28"/>
        </w:rPr>
        <w:t xml:space="preserve"> </w:t>
      </w:r>
      <w:r w:rsidR="007671DF" w:rsidRPr="00EA2EE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и распространяет своё действие на правоотношения, возникшие с 01.01.2025г.</w:t>
      </w:r>
    </w:p>
    <w:p w:rsidR="00E564DB" w:rsidRPr="00EA2EEB" w:rsidRDefault="00E564DB" w:rsidP="00E564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586" w:rsidRDefault="00717B0A" w:rsidP="00AE3E1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Лебяжского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3E1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Т.А. Обухова</w:t>
      </w:r>
    </w:p>
    <w:p w:rsidR="00AE3E19" w:rsidRDefault="00AE3E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03586" w:rsidRDefault="00717B0A" w:rsidP="00B7679D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203586" w:rsidRDefault="00203586" w:rsidP="00B7679D">
      <w:pPr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</w:p>
    <w:p w:rsidR="00203586" w:rsidRDefault="00717B0A" w:rsidP="00B7679D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B7679D" w:rsidRDefault="00B7679D" w:rsidP="00B7679D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постановлением администрации</w:t>
      </w:r>
    </w:p>
    <w:p w:rsidR="00203586" w:rsidRDefault="00717B0A" w:rsidP="00B7679D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Лебяжского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округа</w:t>
      </w:r>
    </w:p>
    <w:p w:rsidR="00203586" w:rsidRDefault="00717B0A" w:rsidP="00B7679D">
      <w:pPr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4B3763">
        <w:rPr>
          <w:rFonts w:ascii="Times New Roman" w:hAnsi="Times New Roman" w:cs="Times New Roman"/>
          <w:sz w:val="28"/>
        </w:rPr>
        <w:t>28.12.2024</w:t>
      </w:r>
      <w:r>
        <w:rPr>
          <w:rFonts w:ascii="Times New Roman" w:hAnsi="Times New Roman" w:cs="Times New Roman"/>
          <w:sz w:val="28"/>
        </w:rPr>
        <w:t xml:space="preserve"> № </w:t>
      </w:r>
      <w:r w:rsidR="004B3763">
        <w:rPr>
          <w:rFonts w:ascii="Times New Roman" w:hAnsi="Times New Roman" w:cs="Times New Roman"/>
          <w:sz w:val="28"/>
        </w:rPr>
        <w:t>918</w:t>
      </w:r>
    </w:p>
    <w:p w:rsidR="00203586" w:rsidRDefault="00203586" w:rsidP="003C07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03586" w:rsidRDefault="00203586" w:rsidP="003C074E">
      <w:pPr>
        <w:spacing w:after="0" w:line="240" w:lineRule="auto"/>
        <w:rPr>
          <w:rFonts w:ascii="Liberation Serif" w:eastAsia="SimSun" w:hAnsi="Liberation Serif" w:cs="Mangal"/>
          <w:sz w:val="24"/>
          <w:u w:val="single"/>
        </w:rPr>
      </w:pPr>
    </w:p>
    <w:p w:rsidR="00203586" w:rsidRDefault="00717B0A" w:rsidP="003C0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Предельный уровень платы населения за холодное водоснабжение в границах населенных пунктов с 01.01.202</w:t>
      </w:r>
      <w:r w:rsidR="007671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31.12.202</w:t>
      </w:r>
      <w:r w:rsidR="007671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года: д. Большие Гари,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Верхняя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Пузинерь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Гаврюшата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Зайчики,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Изиморка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Индыгойка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Кузнецово, с. Лаж, д. Лазари, д. Мошкино, д. Нижняя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Пузинерь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Палкино,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Сауничи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Шайтаны,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074E" w:rsidRDefault="003C074E" w:rsidP="003C0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984"/>
        <w:gridCol w:w="2127"/>
        <w:gridCol w:w="2252"/>
      </w:tblGrid>
      <w:tr w:rsidR="00203586">
        <w:tc>
          <w:tcPr>
            <w:tcW w:w="3686" w:type="dxa"/>
          </w:tcPr>
          <w:p w:rsidR="00203586" w:rsidRDefault="00717B0A" w:rsidP="003C07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услуги, Наименование организации коммунального комплекса</w:t>
            </w:r>
          </w:p>
        </w:tc>
        <w:tc>
          <w:tcPr>
            <w:tcW w:w="1984" w:type="dxa"/>
          </w:tcPr>
          <w:p w:rsidR="00203586" w:rsidRDefault="00717B0A" w:rsidP="003C0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тариф </w:t>
            </w:r>
          </w:p>
          <w:p w:rsidR="00203586" w:rsidRDefault="00717B0A" w:rsidP="003C0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127" w:type="dxa"/>
          </w:tcPr>
          <w:p w:rsidR="00203586" w:rsidRDefault="00717B0A" w:rsidP="003C0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уровня платежа %</w:t>
            </w:r>
          </w:p>
        </w:tc>
        <w:tc>
          <w:tcPr>
            <w:tcW w:w="2252" w:type="dxa"/>
          </w:tcPr>
          <w:p w:rsidR="00203586" w:rsidRDefault="00717B0A" w:rsidP="003C0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для населения (руб.)</w:t>
            </w:r>
          </w:p>
        </w:tc>
      </w:tr>
      <w:tr w:rsidR="00C74968">
        <w:tc>
          <w:tcPr>
            <w:tcW w:w="3686" w:type="dxa"/>
          </w:tcPr>
          <w:p w:rsidR="00C74968" w:rsidRDefault="00C74968" w:rsidP="003C0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водоснабжение, МУП «Коммунсервис» с  01.01.2025 года по 30.06.2025 года</w:t>
            </w:r>
          </w:p>
        </w:tc>
        <w:tc>
          <w:tcPr>
            <w:tcW w:w="1984" w:type="dxa"/>
          </w:tcPr>
          <w:p w:rsidR="00C74968" w:rsidRPr="00E03FA4" w:rsidRDefault="00C74968" w:rsidP="003C07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4968" w:rsidRPr="00E03FA4" w:rsidRDefault="00C74968" w:rsidP="003C07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FA4">
              <w:rPr>
                <w:rFonts w:ascii="Times New Roman" w:hAnsi="Times New Roman"/>
                <w:sz w:val="28"/>
                <w:szCs w:val="28"/>
              </w:rPr>
              <w:t>77,35</w:t>
            </w:r>
          </w:p>
        </w:tc>
        <w:tc>
          <w:tcPr>
            <w:tcW w:w="2127" w:type="dxa"/>
          </w:tcPr>
          <w:p w:rsidR="00C74968" w:rsidRPr="00E03FA4" w:rsidRDefault="00C74968" w:rsidP="003C07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968" w:rsidRPr="00E03FA4" w:rsidRDefault="00C74968" w:rsidP="003C074E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3F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38,3452</w:t>
            </w:r>
          </w:p>
        </w:tc>
        <w:tc>
          <w:tcPr>
            <w:tcW w:w="2252" w:type="dxa"/>
          </w:tcPr>
          <w:p w:rsidR="00C74968" w:rsidRPr="00E03FA4" w:rsidRDefault="00C74968" w:rsidP="003C07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968" w:rsidRPr="00E03FA4" w:rsidRDefault="00C74968" w:rsidP="003C07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FA4">
              <w:rPr>
                <w:rFonts w:ascii="Times New Roman" w:hAnsi="Times New Roman"/>
                <w:sz w:val="28"/>
                <w:szCs w:val="28"/>
              </w:rPr>
              <w:t>29,66</w:t>
            </w:r>
          </w:p>
        </w:tc>
      </w:tr>
      <w:tr w:rsidR="00203586" w:rsidRPr="003C074E">
        <w:tc>
          <w:tcPr>
            <w:tcW w:w="3686" w:type="dxa"/>
          </w:tcPr>
          <w:p w:rsidR="00203586" w:rsidRPr="003C074E" w:rsidRDefault="00717B0A" w:rsidP="003C0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74E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водоснабжение, МУП «Коммунсервис» с 01.07.202</w:t>
            </w:r>
            <w:r w:rsidR="007671DF" w:rsidRPr="003C07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074E">
              <w:rPr>
                <w:rFonts w:ascii="Times New Roman" w:hAnsi="Times New Roman" w:cs="Times New Roman"/>
                <w:sz w:val="28"/>
                <w:szCs w:val="28"/>
              </w:rPr>
              <w:t xml:space="preserve"> года по 31.12.202</w:t>
            </w:r>
            <w:r w:rsidR="007671DF" w:rsidRPr="003C07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3586" w:rsidRPr="003C074E" w:rsidRDefault="00203586" w:rsidP="003C07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03586" w:rsidRPr="003C074E" w:rsidRDefault="00717B0A" w:rsidP="003C07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4E">
              <w:rPr>
                <w:rFonts w:ascii="Times New Roman" w:hAnsi="Times New Roman"/>
                <w:sz w:val="28"/>
                <w:szCs w:val="28"/>
              </w:rPr>
              <w:t>82,52</w:t>
            </w:r>
          </w:p>
        </w:tc>
        <w:tc>
          <w:tcPr>
            <w:tcW w:w="2127" w:type="dxa"/>
          </w:tcPr>
          <w:p w:rsidR="00203586" w:rsidRPr="003C074E" w:rsidRDefault="00203586" w:rsidP="003C07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586" w:rsidRPr="003C074E" w:rsidRDefault="002438F4" w:rsidP="003C074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C07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40,1721</w:t>
            </w:r>
          </w:p>
        </w:tc>
        <w:tc>
          <w:tcPr>
            <w:tcW w:w="2252" w:type="dxa"/>
          </w:tcPr>
          <w:p w:rsidR="00203586" w:rsidRPr="003C074E" w:rsidRDefault="00203586" w:rsidP="003C07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3586" w:rsidRPr="003C074E" w:rsidRDefault="002438F4" w:rsidP="003C07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4E">
              <w:rPr>
                <w:rFonts w:ascii="Times New Roman" w:hAnsi="Times New Roman"/>
                <w:sz w:val="28"/>
                <w:szCs w:val="28"/>
              </w:rPr>
              <w:t>33,15</w:t>
            </w:r>
          </w:p>
        </w:tc>
      </w:tr>
    </w:tbl>
    <w:p w:rsidR="00203586" w:rsidRPr="003C074E" w:rsidRDefault="00203586" w:rsidP="003C07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586" w:rsidRDefault="00717B0A" w:rsidP="003C07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074E">
        <w:rPr>
          <w:rFonts w:ascii="Times New Roman" w:hAnsi="Times New Roman" w:cs="Times New Roman"/>
          <w:sz w:val="28"/>
          <w:szCs w:val="28"/>
        </w:rPr>
        <w:t>Предельный уровень платы населения за холодное водоснабжение  в границах населенных пунктов с 01.01.202</w:t>
      </w:r>
      <w:r w:rsidR="007671DF" w:rsidRPr="003C074E">
        <w:rPr>
          <w:rFonts w:ascii="Times New Roman" w:hAnsi="Times New Roman" w:cs="Times New Roman"/>
          <w:sz w:val="28"/>
          <w:szCs w:val="28"/>
        </w:rPr>
        <w:t>5</w:t>
      </w:r>
      <w:r w:rsidRPr="003C074E">
        <w:rPr>
          <w:rFonts w:ascii="Times New Roman" w:hAnsi="Times New Roman" w:cs="Times New Roman"/>
          <w:sz w:val="28"/>
          <w:szCs w:val="28"/>
        </w:rPr>
        <w:t xml:space="preserve"> года по 31.12.202</w:t>
      </w:r>
      <w:r w:rsidR="007671DF" w:rsidRPr="003C074E">
        <w:rPr>
          <w:rFonts w:ascii="Times New Roman" w:hAnsi="Times New Roman" w:cs="Times New Roman"/>
          <w:sz w:val="28"/>
          <w:szCs w:val="28"/>
        </w:rPr>
        <w:t>5</w:t>
      </w:r>
      <w:r w:rsidRPr="003C074E">
        <w:rPr>
          <w:rFonts w:ascii="Times New Roman" w:hAnsi="Times New Roman" w:cs="Times New Roman"/>
          <w:sz w:val="28"/>
          <w:szCs w:val="28"/>
        </w:rPr>
        <w:t xml:space="preserve"> года: д. Большие Шоры, д. Большой Сердеж,  с.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Боровково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с. Вотское, д. Гари, Хутор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Гурино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Елизарово,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Елькино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Золотавино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Кокорево, с. Красное,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Круглёнки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Лоптино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Лотовщина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Малый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Рын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Дудорово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Малый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Рын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 – Мари,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Мальковщина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Марамзино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>, д</w:t>
      </w:r>
      <w:proofErr w:type="gramEnd"/>
      <w:r w:rsidRPr="003C07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Мелянда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Михеевщина,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Молчонки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Мысы,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Окольники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Окунево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Приверх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Редькино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>, д</w:t>
      </w:r>
      <w:proofErr w:type="gramStart"/>
      <w:r w:rsidRPr="003C074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C074E">
        <w:rPr>
          <w:rFonts w:ascii="Times New Roman" w:hAnsi="Times New Roman" w:cs="Times New Roman"/>
          <w:sz w:val="28"/>
          <w:szCs w:val="28"/>
        </w:rPr>
        <w:t xml:space="preserve">авино,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Сазаново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Синцово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Ситьмяна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Слутка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Соль-Грязь,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Толстик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Трифонята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Фомины,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Чистовражье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Чупраки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Шишкино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3C074E">
        <w:rPr>
          <w:rFonts w:ascii="Times New Roman" w:hAnsi="Times New Roman" w:cs="Times New Roman"/>
          <w:sz w:val="28"/>
          <w:szCs w:val="28"/>
        </w:rPr>
        <w:t>Фадеево</w:t>
      </w:r>
      <w:proofErr w:type="spellEnd"/>
      <w:r w:rsidRPr="003C074E">
        <w:rPr>
          <w:rFonts w:ascii="Times New Roman" w:hAnsi="Times New Roman" w:cs="Times New Roman"/>
          <w:sz w:val="28"/>
          <w:szCs w:val="28"/>
        </w:rPr>
        <w:t>.</w:t>
      </w:r>
    </w:p>
    <w:p w:rsidR="003C074E" w:rsidRPr="003C074E" w:rsidRDefault="003C074E" w:rsidP="003C0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1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2052"/>
        <w:gridCol w:w="1984"/>
        <w:gridCol w:w="2309"/>
      </w:tblGrid>
      <w:tr w:rsidR="00203586" w:rsidRPr="003C074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86" w:rsidRPr="003C074E" w:rsidRDefault="00717B0A" w:rsidP="003C0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услуги, Наименование организации коммунального комплекса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86" w:rsidRPr="003C074E" w:rsidRDefault="00717B0A" w:rsidP="003C0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74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тариф </w:t>
            </w:r>
          </w:p>
          <w:p w:rsidR="00203586" w:rsidRPr="003C074E" w:rsidRDefault="00717B0A" w:rsidP="003C0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74E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86" w:rsidRPr="003C074E" w:rsidRDefault="00717B0A" w:rsidP="003C0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74E">
              <w:rPr>
                <w:rFonts w:ascii="Times New Roman" w:hAnsi="Times New Roman" w:cs="Times New Roman"/>
                <w:sz w:val="28"/>
                <w:szCs w:val="28"/>
              </w:rPr>
              <w:t>Стандарт уровня платежа %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86" w:rsidRPr="003C074E" w:rsidRDefault="00717B0A" w:rsidP="003C0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74E">
              <w:rPr>
                <w:rFonts w:ascii="Times New Roman" w:hAnsi="Times New Roman" w:cs="Times New Roman"/>
                <w:sz w:val="28"/>
                <w:szCs w:val="28"/>
              </w:rPr>
              <w:t>Тариф для населения (руб.)</w:t>
            </w:r>
          </w:p>
        </w:tc>
      </w:tr>
      <w:tr w:rsidR="00C74968" w:rsidRPr="003C074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68" w:rsidRPr="003C074E" w:rsidRDefault="00C74968" w:rsidP="003C0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74E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водоснабжение, МУП «Коммунсервис» с  01.01.2025 года по 30.06.2025 года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68" w:rsidRPr="003C074E" w:rsidRDefault="00C74968" w:rsidP="003C074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4968" w:rsidRPr="003C074E" w:rsidRDefault="00C74968" w:rsidP="003C07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4E">
              <w:rPr>
                <w:rFonts w:ascii="Times New Roman" w:hAnsi="Times New Roman"/>
                <w:color w:val="000000"/>
                <w:sz w:val="28"/>
                <w:szCs w:val="28"/>
              </w:rPr>
              <w:t>77,35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68" w:rsidRPr="003C074E" w:rsidRDefault="00C74968" w:rsidP="003C074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4968" w:rsidRPr="003C074E" w:rsidRDefault="00C74968" w:rsidP="003C07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074E">
              <w:rPr>
                <w:rFonts w:ascii="Times New Roman" w:hAnsi="Times New Roman"/>
                <w:sz w:val="28"/>
                <w:szCs w:val="28"/>
              </w:rPr>
              <w:t xml:space="preserve">     56,1474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68" w:rsidRPr="003C074E" w:rsidRDefault="00C74968" w:rsidP="003C074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4968" w:rsidRPr="003C074E" w:rsidRDefault="00C74968" w:rsidP="003C07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4E">
              <w:rPr>
                <w:rFonts w:ascii="Times New Roman" w:hAnsi="Times New Roman"/>
                <w:sz w:val="28"/>
                <w:szCs w:val="28"/>
              </w:rPr>
              <w:t>43,43</w:t>
            </w:r>
          </w:p>
        </w:tc>
      </w:tr>
      <w:tr w:rsidR="00203586" w:rsidRPr="003C074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86" w:rsidRPr="003C074E" w:rsidRDefault="00717B0A" w:rsidP="003C0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74E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водоснабжение, МУП «Коммунсервис» с 01.07.202</w:t>
            </w:r>
            <w:r w:rsidR="007671DF" w:rsidRPr="003C07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074E">
              <w:rPr>
                <w:rFonts w:ascii="Times New Roman" w:hAnsi="Times New Roman" w:cs="Times New Roman"/>
                <w:sz w:val="28"/>
                <w:szCs w:val="28"/>
              </w:rPr>
              <w:t xml:space="preserve"> года по 31.12.202</w:t>
            </w:r>
            <w:r w:rsidR="007671DF" w:rsidRPr="003C07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86" w:rsidRPr="003C074E" w:rsidRDefault="00203586" w:rsidP="003C074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3586" w:rsidRPr="003C074E" w:rsidRDefault="00717B0A" w:rsidP="003C07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4E">
              <w:rPr>
                <w:rFonts w:ascii="Times New Roman" w:hAnsi="Times New Roman"/>
                <w:color w:val="000000"/>
                <w:sz w:val="28"/>
                <w:szCs w:val="28"/>
              </w:rPr>
              <w:t>82,52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86" w:rsidRPr="003C074E" w:rsidRDefault="00203586" w:rsidP="003C074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3586" w:rsidRPr="003C074E" w:rsidRDefault="00717B0A" w:rsidP="003C07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4E">
              <w:rPr>
                <w:rFonts w:ascii="Times New Roman" w:hAnsi="Times New Roman"/>
                <w:sz w:val="28"/>
                <w:szCs w:val="28"/>
              </w:rPr>
              <w:t>58,8342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86" w:rsidRPr="003C074E" w:rsidRDefault="00203586" w:rsidP="003C074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3586" w:rsidRPr="003C074E" w:rsidRDefault="00717B0A" w:rsidP="003C07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4E">
              <w:rPr>
                <w:rFonts w:ascii="Times New Roman" w:hAnsi="Times New Roman"/>
                <w:sz w:val="28"/>
                <w:szCs w:val="28"/>
              </w:rPr>
              <w:t>48,55</w:t>
            </w:r>
          </w:p>
        </w:tc>
      </w:tr>
    </w:tbl>
    <w:p w:rsidR="00203586" w:rsidRPr="003C074E" w:rsidRDefault="00203586" w:rsidP="003C07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586" w:rsidRDefault="00717B0A" w:rsidP="003C074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уровень платы населения </w:t>
      </w:r>
      <w:r w:rsidRPr="003C074E">
        <w:rPr>
          <w:rFonts w:ascii="Times New Roman" w:hAnsi="Times New Roman" w:cs="Times New Roman"/>
          <w:sz w:val="28"/>
          <w:szCs w:val="28"/>
        </w:rPr>
        <w:t>за холодное водоснабжение</w:t>
      </w:r>
      <w:r w:rsidRPr="003C0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границах населенных пунктов </w:t>
      </w:r>
      <w:r w:rsidRPr="003C074E">
        <w:rPr>
          <w:rFonts w:ascii="Times New Roman" w:hAnsi="Times New Roman" w:cs="Times New Roman"/>
          <w:sz w:val="28"/>
          <w:szCs w:val="28"/>
        </w:rPr>
        <w:t>с 01.01.202</w:t>
      </w:r>
      <w:r w:rsidR="007671DF" w:rsidRPr="003C074E">
        <w:rPr>
          <w:rFonts w:ascii="Times New Roman" w:hAnsi="Times New Roman" w:cs="Times New Roman"/>
          <w:sz w:val="28"/>
          <w:szCs w:val="28"/>
        </w:rPr>
        <w:t>5</w:t>
      </w:r>
      <w:r w:rsidRPr="003C074E">
        <w:rPr>
          <w:rFonts w:ascii="Times New Roman" w:hAnsi="Times New Roman" w:cs="Times New Roman"/>
          <w:sz w:val="28"/>
          <w:szCs w:val="28"/>
        </w:rPr>
        <w:t xml:space="preserve"> года по 31.12.202</w:t>
      </w:r>
      <w:r w:rsidR="007671DF" w:rsidRPr="003C074E">
        <w:rPr>
          <w:rFonts w:ascii="Times New Roman" w:hAnsi="Times New Roman" w:cs="Times New Roman"/>
          <w:sz w:val="28"/>
          <w:szCs w:val="28"/>
        </w:rPr>
        <w:t>5</w:t>
      </w:r>
      <w:r w:rsidRPr="003C074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0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с. Ветошкино, д. Мари-Байса, д. Русская Байса, д. </w:t>
      </w:r>
      <w:proofErr w:type="spellStart"/>
      <w:r w:rsidRPr="003C074E">
        <w:rPr>
          <w:rFonts w:ascii="Times New Roman" w:hAnsi="Times New Roman" w:cs="Times New Roman"/>
          <w:color w:val="000000" w:themeColor="text1"/>
          <w:sz w:val="28"/>
          <w:szCs w:val="28"/>
        </w:rPr>
        <w:t>Смышляево</w:t>
      </w:r>
      <w:proofErr w:type="spellEnd"/>
      <w:r w:rsidRPr="003C074E">
        <w:rPr>
          <w:rFonts w:ascii="Times New Roman" w:hAnsi="Times New Roman" w:cs="Times New Roman"/>
          <w:color w:val="000000" w:themeColor="text1"/>
          <w:sz w:val="28"/>
          <w:szCs w:val="28"/>
        </w:rPr>
        <w:t>, д. Вичур.</w:t>
      </w:r>
    </w:p>
    <w:p w:rsidR="003C074E" w:rsidRPr="003C074E" w:rsidRDefault="003C074E" w:rsidP="003C07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1"/>
        <w:gridCol w:w="2155"/>
        <w:gridCol w:w="1956"/>
        <w:gridCol w:w="2171"/>
      </w:tblGrid>
      <w:tr w:rsidR="00203586" w:rsidRPr="003C074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86" w:rsidRPr="003C074E" w:rsidRDefault="00717B0A" w:rsidP="003C0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07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услуги, Наименование организации коммунального комплекса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86" w:rsidRPr="003C074E" w:rsidRDefault="00717B0A" w:rsidP="003C0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07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Утвержденный тариф </w:t>
            </w:r>
          </w:p>
          <w:p w:rsidR="00203586" w:rsidRPr="003C074E" w:rsidRDefault="00717B0A" w:rsidP="003C0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07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86" w:rsidRPr="003C074E" w:rsidRDefault="00717B0A" w:rsidP="003C0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07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Стандарт уровня платежа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86" w:rsidRPr="003C074E" w:rsidRDefault="00717B0A" w:rsidP="003C07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07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Тариф для населения (руб.)</w:t>
            </w:r>
          </w:p>
        </w:tc>
      </w:tr>
      <w:tr w:rsidR="00C74968" w:rsidRPr="003C074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68" w:rsidRPr="003C074E" w:rsidRDefault="00C74968" w:rsidP="003C0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74E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водоснабжение, МУП «Коммунсервис» с  01.01.2025 года по 30.06.2025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68" w:rsidRPr="003C074E" w:rsidRDefault="00C74968" w:rsidP="003C074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4968" w:rsidRPr="003C074E" w:rsidRDefault="00C74968" w:rsidP="003C074E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3C074E">
              <w:rPr>
                <w:rFonts w:ascii="Times New Roman" w:hAnsi="Times New Roman"/>
                <w:color w:val="000000"/>
                <w:sz w:val="28"/>
                <w:szCs w:val="28"/>
              </w:rPr>
              <w:t>77,35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68" w:rsidRPr="003C074E" w:rsidRDefault="00C74968" w:rsidP="003C074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4968" w:rsidRPr="003C074E" w:rsidRDefault="00C74968" w:rsidP="003C07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074E">
              <w:rPr>
                <w:rFonts w:ascii="Times New Roman" w:hAnsi="Times New Roman"/>
                <w:sz w:val="28"/>
                <w:szCs w:val="28"/>
              </w:rPr>
              <w:t xml:space="preserve">     43,5682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68" w:rsidRPr="003C074E" w:rsidRDefault="00C74968" w:rsidP="003C074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4968" w:rsidRPr="003C074E" w:rsidRDefault="00C74968" w:rsidP="003C074E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3C074E">
              <w:rPr>
                <w:rFonts w:ascii="Times New Roman" w:hAnsi="Times New Roman"/>
                <w:sz w:val="28"/>
                <w:szCs w:val="28"/>
              </w:rPr>
              <w:t>33,70</w:t>
            </w:r>
          </w:p>
        </w:tc>
      </w:tr>
      <w:tr w:rsidR="00203586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86" w:rsidRPr="003C074E" w:rsidRDefault="00717B0A" w:rsidP="003C0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74E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водоснабжение, МУП «Коммунсервис» с 01.07.202</w:t>
            </w:r>
            <w:r w:rsidR="00EA2EEB" w:rsidRPr="003C07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074E">
              <w:rPr>
                <w:rFonts w:ascii="Times New Roman" w:hAnsi="Times New Roman" w:cs="Times New Roman"/>
                <w:sz w:val="28"/>
                <w:szCs w:val="28"/>
              </w:rPr>
              <w:t xml:space="preserve"> года по 31.12.202</w:t>
            </w:r>
            <w:r w:rsidR="00EA2EEB" w:rsidRPr="003C07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86" w:rsidRPr="003C074E" w:rsidRDefault="00203586" w:rsidP="003C074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3586" w:rsidRPr="003C074E" w:rsidRDefault="00717B0A" w:rsidP="003C074E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3C074E">
              <w:rPr>
                <w:rFonts w:ascii="Times New Roman" w:hAnsi="Times New Roman"/>
                <w:color w:val="000000"/>
                <w:sz w:val="28"/>
                <w:szCs w:val="28"/>
              </w:rPr>
              <w:t>82,52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86" w:rsidRPr="003C074E" w:rsidRDefault="00203586" w:rsidP="003C074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3586" w:rsidRPr="003C074E" w:rsidRDefault="00FE3D56" w:rsidP="003C07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74E">
              <w:rPr>
                <w:rFonts w:ascii="Times New Roman" w:hAnsi="Times New Roman"/>
                <w:sz w:val="28"/>
                <w:szCs w:val="28"/>
              </w:rPr>
              <w:t>45,6495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86" w:rsidRPr="003C074E" w:rsidRDefault="00203586" w:rsidP="003C074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3586" w:rsidRPr="003C074E" w:rsidRDefault="00FE3D56" w:rsidP="003C074E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3C074E">
              <w:rPr>
                <w:rFonts w:ascii="Times New Roman" w:hAnsi="Times New Roman"/>
                <w:sz w:val="28"/>
                <w:szCs w:val="28"/>
              </w:rPr>
              <w:t>37,67</w:t>
            </w:r>
          </w:p>
        </w:tc>
      </w:tr>
    </w:tbl>
    <w:p w:rsidR="00203586" w:rsidRDefault="00203586" w:rsidP="003C074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03586" w:rsidRDefault="00717B0A" w:rsidP="003C074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203586" w:rsidSect="007C4CD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7F" w:rsidRDefault="00D93F7F">
      <w:pPr>
        <w:spacing w:after="0" w:line="240" w:lineRule="auto"/>
      </w:pPr>
      <w:r>
        <w:separator/>
      </w:r>
    </w:p>
  </w:endnote>
  <w:endnote w:type="continuationSeparator" w:id="0">
    <w:p w:rsidR="00D93F7F" w:rsidRDefault="00D9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7F" w:rsidRDefault="00D93F7F">
      <w:pPr>
        <w:spacing w:after="0" w:line="240" w:lineRule="auto"/>
      </w:pPr>
      <w:r>
        <w:separator/>
      </w:r>
    </w:p>
  </w:footnote>
  <w:footnote w:type="continuationSeparator" w:id="0">
    <w:p w:rsidR="00D93F7F" w:rsidRDefault="00D93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lang w:val="ru-RU" w:eastAsia="ru-RU" w:bidi="ar-SA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  <w:lang w:val="ru-RU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">
    <w:nsid w:val="137B19EF"/>
    <w:multiLevelType w:val="hybridMultilevel"/>
    <w:tmpl w:val="B18CDB1E"/>
    <w:lvl w:ilvl="0" w:tplc="D3061248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17949D2"/>
    <w:multiLevelType w:val="hybridMultilevel"/>
    <w:tmpl w:val="E9643A50"/>
    <w:lvl w:ilvl="0" w:tplc="BA1E99A6">
      <w:start w:val="1"/>
      <w:numFmt w:val="decimal"/>
      <w:lvlText w:val="%1."/>
      <w:lvlJc w:val="left"/>
      <w:pPr>
        <w:ind w:left="16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38357D7F"/>
    <w:multiLevelType w:val="multilevel"/>
    <w:tmpl w:val="0AA26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0EE2191"/>
    <w:multiLevelType w:val="hybridMultilevel"/>
    <w:tmpl w:val="B18CDB1E"/>
    <w:lvl w:ilvl="0" w:tplc="D3061248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586"/>
    <w:rsid w:val="000078CC"/>
    <w:rsid w:val="00114D8F"/>
    <w:rsid w:val="00184AE6"/>
    <w:rsid w:val="00203586"/>
    <w:rsid w:val="00231CA4"/>
    <w:rsid w:val="002330CB"/>
    <w:rsid w:val="002438F4"/>
    <w:rsid w:val="00333931"/>
    <w:rsid w:val="003C074E"/>
    <w:rsid w:val="00423CFD"/>
    <w:rsid w:val="004B3763"/>
    <w:rsid w:val="00534FC3"/>
    <w:rsid w:val="0053774E"/>
    <w:rsid w:val="0054078F"/>
    <w:rsid w:val="005A4D31"/>
    <w:rsid w:val="006F6688"/>
    <w:rsid w:val="00717B0A"/>
    <w:rsid w:val="00726A2C"/>
    <w:rsid w:val="007671DF"/>
    <w:rsid w:val="007C4CD5"/>
    <w:rsid w:val="0082773F"/>
    <w:rsid w:val="00967442"/>
    <w:rsid w:val="00997192"/>
    <w:rsid w:val="009C60D3"/>
    <w:rsid w:val="00A4422D"/>
    <w:rsid w:val="00AE3E19"/>
    <w:rsid w:val="00B7679D"/>
    <w:rsid w:val="00B81A71"/>
    <w:rsid w:val="00B85C43"/>
    <w:rsid w:val="00C74968"/>
    <w:rsid w:val="00D93F7F"/>
    <w:rsid w:val="00E03FA4"/>
    <w:rsid w:val="00E5048A"/>
    <w:rsid w:val="00E564DB"/>
    <w:rsid w:val="00EA2EEB"/>
    <w:rsid w:val="00F23218"/>
    <w:rsid w:val="00FE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CD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7C4CD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7C4CD5"/>
    <w:pPr>
      <w:ind w:left="720"/>
      <w:contextualSpacing/>
    </w:pPr>
  </w:style>
  <w:style w:type="paragraph" w:customStyle="1" w:styleId="ConsPlusNormal">
    <w:name w:val="ConsPlusNormal"/>
    <w:uiPriority w:val="99"/>
    <w:rsid w:val="007C4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ody Text"/>
    <w:basedOn w:val="a"/>
    <w:link w:val="a7"/>
    <w:uiPriority w:val="99"/>
    <w:rsid w:val="007C4CD5"/>
    <w:pPr>
      <w:tabs>
        <w:tab w:val="left" w:pos="333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C4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C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4CD5"/>
  </w:style>
  <w:style w:type="paragraph" w:styleId="aa">
    <w:name w:val="footer"/>
    <w:basedOn w:val="a"/>
    <w:link w:val="ab"/>
    <w:uiPriority w:val="99"/>
    <w:unhideWhenUsed/>
    <w:rsid w:val="007C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4CD5"/>
  </w:style>
  <w:style w:type="table" w:styleId="ac">
    <w:name w:val="Table Grid"/>
    <w:basedOn w:val="a1"/>
    <w:uiPriority w:val="59"/>
    <w:rsid w:val="007C4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4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msobodytextindentbullet2gif">
    <w:name w:val="msobodytextindentbullet2.gif"/>
    <w:basedOn w:val="a"/>
    <w:qFormat/>
    <w:rsid w:val="007C4CD5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24C8-1487-4CBE-BD16-529AA1D6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u0203</dc:creator>
  <cp:lastModifiedBy>u0203</cp:lastModifiedBy>
  <cp:revision>83</cp:revision>
  <cp:lastPrinted>2024-01-10T13:18:00Z</cp:lastPrinted>
  <dcterms:created xsi:type="dcterms:W3CDTF">2021-03-24T12:24:00Z</dcterms:created>
  <dcterms:modified xsi:type="dcterms:W3CDTF">2024-12-28T10:30:00Z</dcterms:modified>
</cp:coreProperties>
</file>