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91" w:rsidRDefault="00701782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-1905</wp:posOffset>
            </wp:positionV>
            <wp:extent cx="558165" cy="697865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2372"/>
        <w:gridCol w:w="2124"/>
      </w:tblGrid>
      <w:tr w:rsidR="009F1691">
        <w:trPr>
          <w:trHeight w:hRule="exact" w:val="1883"/>
        </w:trPr>
        <w:tc>
          <w:tcPr>
            <w:tcW w:w="9356" w:type="dxa"/>
            <w:gridSpan w:val="4"/>
          </w:tcPr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napToGrid w:val="0"/>
              <w:spacing w:before="360" w:after="0"/>
              <w:jc w:val="left"/>
            </w:pPr>
            <w:r>
              <w:t>АДМИНИСТРАЦИЯ ЛЕБЯЖСКОГО  МУНИЦИПАЛЬНОГО ОКРУГА</w:t>
            </w:r>
          </w:p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pacing w:before="0" w:after="360"/>
            </w:pPr>
            <w:r>
              <w:t>КИРОВСКОЙ ОБЛАСТИ</w:t>
            </w:r>
          </w:p>
          <w:p w:rsidR="009F1691" w:rsidRDefault="00701782">
            <w:pPr>
              <w:pStyle w:val="a3"/>
              <w:keepLines w:val="0"/>
              <w:suppressAutoHyphens w:val="0"/>
              <w:spacing w:before="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9F1691" w:rsidRDefault="00701782">
            <w:pPr>
              <w:tabs>
                <w:tab w:val="left" w:pos="2160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F1691">
        <w:tc>
          <w:tcPr>
            <w:tcW w:w="2129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9F1691" w:rsidRDefault="000F58DE" w:rsidP="000F58DE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22.09.2023</w:t>
            </w:r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9F1691" w:rsidRDefault="009F1691" w:rsidP="000F58DE">
            <w:pPr>
              <w:suppressAutoHyphens w:val="0"/>
              <w:snapToGrid w:val="0"/>
              <w:jc w:val="center"/>
              <w:rPr>
                <w:position w:val="-5"/>
                <w:sz w:val="28"/>
                <w:szCs w:val="28"/>
              </w:rPr>
            </w:pPr>
          </w:p>
        </w:tc>
        <w:tc>
          <w:tcPr>
            <w:tcW w:w="2372" w:type="dxa"/>
            <w:tcMar>
              <w:left w:w="70" w:type="dxa"/>
              <w:right w:w="70" w:type="dxa"/>
            </w:tcMar>
          </w:tcPr>
          <w:p w:rsidR="009F1691" w:rsidRDefault="00701782" w:rsidP="000F58DE">
            <w:pPr>
              <w:suppressAutoHyphens w:val="0"/>
              <w:snapToGrid w:val="0"/>
              <w:jc w:val="center"/>
              <w:rPr>
                <w:position w:val="-5"/>
                <w:sz w:val="28"/>
                <w:szCs w:val="28"/>
              </w:rPr>
            </w:pPr>
            <w:r>
              <w:rPr>
                <w:position w:val="-5"/>
                <w:sz w:val="28"/>
                <w:szCs w:val="28"/>
              </w:rPr>
              <w:t>№</w:t>
            </w:r>
          </w:p>
        </w:tc>
        <w:tc>
          <w:tcPr>
            <w:tcW w:w="2124" w:type="dxa"/>
            <w:tcBorders>
              <w:bottom w:val="single" w:sz="4" w:space="0" w:color="000000"/>
            </w:tcBorders>
          </w:tcPr>
          <w:p w:rsidR="009F1691" w:rsidRDefault="000F58DE" w:rsidP="000F58DE">
            <w:pPr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</w:t>
            </w:r>
          </w:p>
        </w:tc>
      </w:tr>
      <w:tr w:rsidR="009F1691">
        <w:tc>
          <w:tcPr>
            <w:tcW w:w="9356" w:type="dxa"/>
            <w:gridSpan w:val="4"/>
            <w:tcMar>
              <w:left w:w="70" w:type="dxa"/>
              <w:right w:w="70" w:type="dxa"/>
            </w:tcMar>
          </w:tcPr>
          <w:p w:rsidR="009F1691" w:rsidRDefault="00701782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Лебяжье </w:t>
            </w:r>
          </w:p>
        </w:tc>
      </w:tr>
    </w:tbl>
    <w:p w:rsidR="009F1691" w:rsidRDefault="009F1691">
      <w:pPr>
        <w:tabs>
          <w:tab w:val="left" w:pos="8550"/>
        </w:tabs>
        <w:suppressAutoHyphens w:val="0"/>
        <w:rPr>
          <w:sz w:val="28"/>
          <w:szCs w:val="28"/>
        </w:rPr>
      </w:pP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0"/>
          <w:lang w:eastAsia="ru-RU"/>
        </w:rPr>
      </w:pPr>
      <w:r w:rsidRPr="00701782">
        <w:rPr>
          <w:rFonts w:eastAsia="Calibri"/>
          <w:b/>
          <w:sz w:val="28"/>
          <w:szCs w:val="20"/>
          <w:lang w:eastAsia="ru-RU"/>
        </w:rPr>
        <w:t xml:space="preserve">О внесении изменений в постановление администрации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0"/>
          <w:lang w:eastAsia="ru-RU"/>
        </w:rPr>
      </w:pPr>
      <w:r w:rsidRPr="00701782">
        <w:rPr>
          <w:rFonts w:eastAsia="Calibri"/>
          <w:b/>
          <w:sz w:val="28"/>
          <w:szCs w:val="20"/>
          <w:lang w:eastAsia="ru-RU"/>
        </w:rPr>
        <w:t xml:space="preserve">Лебяжского муниципального округа от 30.12.2022 №854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pacing w:val="-4"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0"/>
          <w:lang w:eastAsia="ru-RU"/>
        </w:rPr>
        <w:t xml:space="preserve">«Об утверждении </w:t>
      </w: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плана реализации муниципальной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программы 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2023 год»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48"/>
          <w:szCs w:val="48"/>
          <w:lang w:eastAsia="ru-RU"/>
        </w:rPr>
      </w:pPr>
    </w:p>
    <w:p w:rsidR="00701782" w:rsidRPr="00701782" w:rsidRDefault="00701782" w:rsidP="00701782">
      <w:pPr>
        <w:suppressAutoHyphens w:val="0"/>
        <w:spacing w:line="380" w:lineRule="atLeast"/>
        <w:ind w:right="29" w:firstLine="709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В соответствии с </w:t>
      </w:r>
      <w:r w:rsidRPr="00701782">
        <w:rPr>
          <w:rFonts w:eastAsia="Calibri"/>
          <w:spacing w:val="-4"/>
          <w:sz w:val="28"/>
          <w:szCs w:val="28"/>
          <w:lang w:eastAsia="ru-RU"/>
        </w:rPr>
        <w:t xml:space="preserve">постановлением администрации Лебяжского  муниципального  округа  Кировской области от 10.08.2022 №278 «О разработке, реализации и оценке эффективности реализации муниципальных программ </w:t>
      </w:r>
      <w:r w:rsidRPr="00701782">
        <w:rPr>
          <w:rFonts w:eastAsia="Calibri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701782">
        <w:rPr>
          <w:rFonts w:eastAsia="Calibri"/>
          <w:sz w:val="28"/>
          <w:szCs w:val="28"/>
          <w:lang w:eastAsia="ru-RU"/>
        </w:rPr>
        <w:t>Лебяжский</w:t>
      </w:r>
      <w:proofErr w:type="spellEnd"/>
      <w:r w:rsidRPr="00701782">
        <w:rPr>
          <w:rFonts w:eastAsia="Calibri"/>
          <w:sz w:val="28"/>
          <w:szCs w:val="28"/>
          <w:lang w:eastAsia="ru-RU"/>
        </w:rPr>
        <w:t xml:space="preserve"> муниципальный округ Кировской области</w:t>
      </w:r>
      <w:r w:rsidRPr="00701782">
        <w:rPr>
          <w:rFonts w:eastAsia="Calibri"/>
          <w:spacing w:val="-4"/>
          <w:sz w:val="28"/>
          <w:szCs w:val="28"/>
          <w:lang w:eastAsia="ru-RU"/>
        </w:rPr>
        <w:t>»</w:t>
      </w:r>
      <w:r w:rsidRPr="00701782">
        <w:rPr>
          <w:rFonts w:eastAsia="Calibri"/>
          <w:sz w:val="28"/>
          <w:szCs w:val="28"/>
          <w:lang w:eastAsia="ru-RU"/>
        </w:rPr>
        <w:t xml:space="preserve"> администрация Лебяжского округа ПОСТАНОВЛЯЕТ:</w:t>
      </w:r>
    </w:p>
    <w:p w:rsidR="00701782" w:rsidRPr="00701782" w:rsidRDefault="00701782" w:rsidP="00701782">
      <w:pPr>
        <w:widowControl w:val="0"/>
        <w:autoSpaceDE w:val="0"/>
        <w:spacing w:line="380" w:lineRule="atLeast"/>
        <w:ind w:firstLine="709"/>
        <w:jc w:val="both"/>
        <w:rPr>
          <w:spacing w:val="-4"/>
          <w:sz w:val="28"/>
          <w:szCs w:val="28"/>
        </w:rPr>
      </w:pPr>
      <w:r w:rsidRPr="00701782">
        <w:rPr>
          <w:sz w:val="28"/>
          <w:szCs w:val="28"/>
        </w:rPr>
        <w:t xml:space="preserve">1. </w:t>
      </w:r>
      <w:proofErr w:type="gramStart"/>
      <w:r w:rsidRPr="00701782">
        <w:rPr>
          <w:sz w:val="28"/>
          <w:szCs w:val="28"/>
        </w:rPr>
        <w:t xml:space="preserve">Внести изменения в </w:t>
      </w:r>
      <w:r w:rsidRPr="00701782">
        <w:rPr>
          <w:spacing w:val="-4"/>
          <w:sz w:val="28"/>
          <w:szCs w:val="28"/>
        </w:rPr>
        <w:t xml:space="preserve">план реализации муниципальной программы «Развитие муниципального управления Лебяжского муниципального округа» </w:t>
      </w:r>
      <w:r w:rsidRPr="00701782">
        <w:rPr>
          <w:sz w:val="28"/>
          <w:szCs w:val="28"/>
        </w:rPr>
        <w:t>на 2023 год, утверждённый</w:t>
      </w:r>
      <w:r w:rsidRPr="00701782">
        <w:rPr>
          <w:spacing w:val="-4"/>
          <w:sz w:val="28"/>
          <w:szCs w:val="28"/>
        </w:rPr>
        <w:t xml:space="preserve"> постановлением администрации  Лебяжского муниципального округа от 30.12.2022 №854 «Об утверждении плана реализации муниципальной программы «Развитие муниципального управления Лебяжского муниципального округа» на 2023 год» изложив  строки 1, 1.1.</w:t>
      </w:r>
      <w:r w:rsidR="00061CC3">
        <w:rPr>
          <w:spacing w:val="-4"/>
          <w:sz w:val="28"/>
          <w:szCs w:val="28"/>
        </w:rPr>
        <w:t xml:space="preserve">,1.2.,1.5. </w:t>
      </w:r>
      <w:r w:rsidRPr="00701782">
        <w:rPr>
          <w:spacing w:val="-4"/>
          <w:sz w:val="28"/>
          <w:szCs w:val="28"/>
        </w:rPr>
        <w:t xml:space="preserve"> </w:t>
      </w:r>
      <w:r w:rsidRPr="00701782">
        <w:rPr>
          <w:sz w:val="28"/>
          <w:szCs w:val="28"/>
        </w:rPr>
        <w:t>в новой редакции согласно приложению.</w:t>
      </w:r>
      <w:proofErr w:type="gramEnd"/>
    </w:p>
    <w:p w:rsidR="00701782" w:rsidRPr="00701782" w:rsidRDefault="00701782" w:rsidP="00701782">
      <w:pPr>
        <w:widowControl w:val="0"/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2. </w:t>
      </w:r>
      <w:proofErr w:type="gramStart"/>
      <w:r w:rsidRPr="00701782">
        <w:rPr>
          <w:sz w:val="28"/>
          <w:szCs w:val="28"/>
        </w:rPr>
        <w:t>Контроль за</w:t>
      </w:r>
      <w:proofErr w:type="gramEnd"/>
      <w:r w:rsidRPr="00701782">
        <w:rPr>
          <w:sz w:val="28"/>
          <w:szCs w:val="28"/>
        </w:rPr>
        <w:t xml:space="preserve"> исполнением настоящего  постановления возложить на управляющего делами администрации Лебяжского муниципального округа, начальника организационно-правового управления Логинову Татьяну Ивановну.</w:t>
      </w:r>
    </w:p>
    <w:p w:rsidR="00701782" w:rsidRPr="00701782" w:rsidRDefault="00701782" w:rsidP="00701782">
      <w:pPr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3. Настоящее постановление вступает в силу </w:t>
      </w:r>
      <w:proofErr w:type="gramStart"/>
      <w:r w:rsidRPr="00701782">
        <w:rPr>
          <w:sz w:val="28"/>
          <w:szCs w:val="28"/>
        </w:rPr>
        <w:t>с даты</w:t>
      </w:r>
      <w:proofErr w:type="gramEnd"/>
      <w:r w:rsidRPr="00701782">
        <w:rPr>
          <w:sz w:val="28"/>
          <w:szCs w:val="28"/>
        </w:rPr>
        <w:t xml:space="preserve"> официального опубликования.</w:t>
      </w:r>
    </w:p>
    <w:p w:rsidR="00701782" w:rsidRPr="00701782" w:rsidRDefault="00701782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701782" w:rsidRPr="00701782" w:rsidRDefault="00061CC3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proofErr w:type="spellStart"/>
      <w:r>
        <w:rPr>
          <w:rFonts w:eastAsia="Calibri"/>
          <w:sz w:val="28"/>
          <w:szCs w:val="28"/>
          <w:lang w:eastAsia="ru-RU"/>
        </w:rPr>
        <w:t>И.о</w:t>
      </w:r>
      <w:proofErr w:type="spellEnd"/>
      <w:r>
        <w:rPr>
          <w:rFonts w:eastAsia="Calibri"/>
          <w:sz w:val="28"/>
          <w:szCs w:val="28"/>
          <w:lang w:eastAsia="ru-RU"/>
        </w:rPr>
        <w:t>. г</w:t>
      </w:r>
      <w:r w:rsidR="00701782" w:rsidRPr="00701782">
        <w:rPr>
          <w:rFonts w:eastAsia="Calibri"/>
          <w:sz w:val="28"/>
          <w:szCs w:val="28"/>
          <w:lang w:eastAsia="ru-RU"/>
        </w:rPr>
        <w:t>лав</w:t>
      </w:r>
      <w:r>
        <w:rPr>
          <w:rFonts w:eastAsia="Calibri"/>
          <w:sz w:val="28"/>
          <w:szCs w:val="28"/>
          <w:lang w:eastAsia="ru-RU"/>
        </w:rPr>
        <w:t>ы</w:t>
      </w:r>
      <w:r w:rsidR="00701782" w:rsidRPr="00701782">
        <w:rPr>
          <w:rFonts w:eastAsia="Calibri"/>
          <w:sz w:val="28"/>
          <w:szCs w:val="28"/>
          <w:lang w:eastAsia="ru-RU"/>
        </w:rPr>
        <w:t xml:space="preserve"> Лебяжского </w:t>
      </w:r>
    </w:p>
    <w:p w:rsidR="00701782" w:rsidRPr="000F58DE" w:rsidRDefault="00701782" w:rsidP="000F58DE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муниципального округа  </w:t>
      </w:r>
      <w:r w:rsidR="000F58DE">
        <w:rPr>
          <w:rFonts w:eastAsia="Calibri"/>
          <w:sz w:val="28"/>
          <w:szCs w:val="28"/>
          <w:lang w:eastAsia="ru-RU"/>
        </w:rPr>
        <w:t>А.Е. Бердников</w:t>
      </w:r>
      <w:r w:rsidRPr="00701782">
        <w:rPr>
          <w:bCs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701782" w:rsidRDefault="00701782" w:rsidP="00701782">
      <w:pPr>
        <w:autoSpaceDE w:val="0"/>
        <w:jc w:val="right"/>
        <w:rPr>
          <w:bCs/>
          <w:sz w:val="28"/>
          <w:szCs w:val="28"/>
        </w:rPr>
        <w:sectPr w:rsidR="00701782">
          <w:headerReference w:type="first" r:id="rId9"/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701782" w:rsidRPr="00701782" w:rsidRDefault="00701782" w:rsidP="00701782">
      <w:pPr>
        <w:autoSpaceDE w:val="0"/>
        <w:jc w:val="right"/>
        <w:rPr>
          <w:bCs/>
          <w:sz w:val="28"/>
          <w:szCs w:val="28"/>
        </w:rPr>
      </w:pPr>
      <w:r w:rsidRPr="00701782">
        <w:rPr>
          <w:bCs/>
          <w:sz w:val="28"/>
          <w:szCs w:val="28"/>
        </w:rPr>
        <w:lastRenderedPageBreak/>
        <w:t>УТВЕРЖДЕНЫ</w:t>
      </w:r>
    </w:p>
    <w:p w:rsidR="000F58DE" w:rsidRDefault="00701782" w:rsidP="00701782">
      <w:pPr>
        <w:autoSpaceDE w:val="0"/>
        <w:ind w:left="11200"/>
        <w:rPr>
          <w:bCs/>
          <w:sz w:val="28"/>
          <w:szCs w:val="28"/>
        </w:rPr>
      </w:pPr>
      <w:r w:rsidRPr="00701782">
        <w:rPr>
          <w:bCs/>
          <w:sz w:val="28"/>
          <w:szCs w:val="28"/>
        </w:rPr>
        <w:t xml:space="preserve">постановлением администрации Лебяжского муниципального округа </w:t>
      </w:r>
    </w:p>
    <w:p w:rsidR="00701782" w:rsidRPr="00701782" w:rsidRDefault="00701782" w:rsidP="00701782">
      <w:pPr>
        <w:autoSpaceDE w:val="0"/>
        <w:ind w:left="11200"/>
        <w:rPr>
          <w:bCs/>
          <w:sz w:val="28"/>
          <w:szCs w:val="28"/>
        </w:rPr>
      </w:pPr>
      <w:r w:rsidRPr="00701782">
        <w:rPr>
          <w:bCs/>
          <w:sz w:val="28"/>
          <w:szCs w:val="28"/>
        </w:rPr>
        <w:t xml:space="preserve">от </w:t>
      </w:r>
      <w:r w:rsidR="000F58DE">
        <w:rPr>
          <w:bCs/>
          <w:sz w:val="28"/>
          <w:szCs w:val="28"/>
          <w:u w:val="single"/>
        </w:rPr>
        <w:t>22.09.2023</w:t>
      </w:r>
      <w:r w:rsidR="009C530B">
        <w:rPr>
          <w:bCs/>
          <w:sz w:val="28"/>
          <w:szCs w:val="28"/>
        </w:rPr>
        <w:t xml:space="preserve"> </w:t>
      </w:r>
      <w:r w:rsidRPr="00701782">
        <w:rPr>
          <w:bCs/>
          <w:sz w:val="28"/>
          <w:szCs w:val="28"/>
        </w:rPr>
        <w:t xml:space="preserve"> №</w:t>
      </w:r>
      <w:r w:rsidR="009C530B">
        <w:rPr>
          <w:bCs/>
          <w:sz w:val="28"/>
          <w:szCs w:val="28"/>
        </w:rPr>
        <w:t xml:space="preserve"> </w:t>
      </w:r>
      <w:r w:rsidR="000F58DE">
        <w:rPr>
          <w:bCs/>
          <w:sz w:val="28"/>
          <w:szCs w:val="28"/>
          <w:u w:val="single"/>
        </w:rPr>
        <w:t>533</w:t>
      </w:r>
      <w:bookmarkStart w:id="0" w:name="_GoBack"/>
      <w:bookmarkEnd w:id="0"/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701782" w:rsidRPr="00701782" w:rsidRDefault="00701782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8"/>
          <w:lang w:eastAsia="ru-RU"/>
        </w:rPr>
        <w:t>Изменения в план реализации муниципальной программы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8"/>
          <w:lang w:eastAsia="ru-RU"/>
        </w:rPr>
        <w:t>«</w:t>
      </w: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2023 год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701782" w:rsidP="00701782">
      <w:pPr>
        <w:suppressAutoHyphens w:val="0"/>
        <w:jc w:val="center"/>
        <w:rPr>
          <w:rFonts w:eastAsia="Calibri"/>
          <w:sz w:val="26"/>
          <w:szCs w:val="26"/>
          <w:lang w:eastAsia="ru-RU"/>
        </w:rPr>
      </w:pPr>
    </w:p>
    <w:tbl>
      <w:tblPr>
        <w:tblW w:w="15000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290"/>
        <w:gridCol w:w="3206"/>
        <w:gridCol w:w="1189"/>
        <w:gridCol w:w="1009"/>
        <w:gridCol w:w="1316"/>
        <w:gridCol w:w="1290"/>
        <w:gridCol w:w="4039"/>
      </w:tblGrid>
      <w:tr w:rsidR="00701782" w:rsidRPr="00701782" w:rsidTr="009C530B">
        <w:trPr>
          <w:cantSplit/>
        </w:trPr>
        <w:tc>
          <w:tcPr>
            <w:tcW w:w="661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№ </w:t>
            </w:r>
            <w:proofErr w:type="gramStart"/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п</w:t>
            </w:r>
            <w:proofErr w:type="gramEnd"/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/п</w:t>
            </w:r>
          </w:p>
        </w:tc>
        <w:tc>
          <w:tcPr>
            <w:tcW w:w="2290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Наименование </w:t>
            </w:r>
          </w:p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муниципальной программы</w:t>
            </w:r>
          </w:p>
        </w:tc>
        <w:tc>
          <w:tcPr>
            <w:tcW w:w="3206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Ответственный </w:t>
            </w:r>
          </w:p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ru-RU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исполнитель</w:t>
            </w:r>
          </w:p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(Ф.И.О., должность)</w:t>
            </w:r>
          </w:p>
        </w:tc>
        <w:tc>
          <w:tcPr>
            <w:tcW w:w="2198" w:type="dxa"/>
            <w:gridSpan w:val="2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Срок реализации</w:t>
            </w:r>
          </w:p>
        </w:tc>
        <w:tc>
          <w:tcPr>
            <w:tcW w:w="1316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Calibri"/>
                <w:b/>
                <w:lang w:eastAsia="en-US" w:bidi="hi-IN"/>
              </w:rPr>
              <w:t>Источники финансирования</w:t>
            </w:r>
          </w:p>
        </w:tc>
        <w:tc>
          <w:tcPr>
            <w:tcW w:w="1290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Calibri"/>
                <w:b/>
                <w:lang w:eastAsia="en-US" w:bidi="hi-IN"/>
              </w:rPr>
              <w:t>Финансирование 2023 год, рублей</w:t>
            </w:r>
          </w:p>
        </w:tc>
        <w:tc>
          <w:tcPr>
            <w:tcW w:w="403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bCs/>
                <w:sz w:val="22"/>
                <w:szCs w:val="22"/>
                <w:lang w:eastAsia="ru-RU" w:bidi="hi-IN"/>
              </w:rPr>
              <w:t>Ожидаемый результат реализации мероприятий муниципальной программы</w:t>
            </w: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701782">
              <w:rPr>
                <w:rFonts w:eastAsia="Calibri"/>
                <w:sz w:val="20"/>
                <w:szCs w:val="20"/>
                <w:lang w:eastAsia="en-US" w:bidi="hi-IN"/>
              </w:rPr>
              <w:t>начало реализации</w:t>
            </w:r>
          </w:p>
        </w:tc>
        <w:tc>
          <w:tcPr>
            <w:tcW w:w="1009" w:type="dxa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701782">
              <w:rPr>
                <w:rFonts w:eastAsia="Calibri"/>
                <w:sz w:val="20"/>
                <w:szCs w:val="20"/>
                <w:lang w:eastAsia="en-US" w:bidi="hi-IN"/>
              </w:rPr>
              <w:t>окончание реализации</w:t>
            </w:r>
          </w:p>
        </w:tc>
        <w:tc>
          <w:tcPr>
            <w:tcW w:w="131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</w:p>
        </w:tc>
        <w:tc>
          <w:tcPr>
            <w:tcW w:w="2290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lang w:eastAsia="ru-RU"/>
              </w:rPr>
              <w:t>Развитие муниципального управления Лебяжского муниципального округа</w:t>
            </w:r>
          </w:p>
          <w:p w:rsidR="00701782" w:rsidRPr="00701782" w:rsidRDefault="00701782" w:rsidP="00701782">
            <w:pPr>
              <w:widowControl w:val="0"/>
              <w:spacing w:line="100" w:lineRule="atLeast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color w:val="000000"/>
                <w:lang w:eastAsia="ru-RU"/>
              </w:rPr>
              <w:t>администрация Лебяжского муниципального округа (Логинова Татьяна Ивановна, управляющий делами администрации Лебяжского муниципального округа, начальник организационно-правового управления)</w:t>
            </w:r>
          </w:p>
        </w:tc>
        <w:tc>
          <w:tcPr>
            <w:tcW w:w="118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00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CF2C4C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54</w:t>
            </w:r>
            <w:r w:rsidR="00CF2C4C">
              <w:rPr>
                <w:rFonts w:eastAsia="Calibri"/>
                <w:lang w:eastAsia="ru-RU"/>
              </w:rPr>
              <w:t>747358</w:t>
            </w:r>
          </w:p>
        </w:tc>
        <w:tc>
          <w:tcPr>
            <w:tcW w:w="4039" w:type="dxa"/>
            <w:vMerge w:val="restart"/>
            <w:shd w:val="clear" w:color="auto" w:fill="FFFFFF"/>
          </w:tcPr>
          <w:p w:rsidR="00701782" w:rsidRPr="00701782" w:rsidRDefault="00701782" w:rsidP="00701782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CF2C4C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28</w:t>
            </w:r>
            <w:r w:rsidR="00CF2C4C">
              <w:rPr>
                <w:rFonts w:eastAsia="Calibri"/>
                <w:lang w:eastAsia="ru-RU"/>
              </w:rPr>
              <w:t>8900</w:t>
            </w: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  <w:trHeight w:val="649"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701782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10978210</w:t>
            </w: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CF2C4C" w:rsidRPr="00701782" w:rsidTr="00CF2C4C">
        <w:trPr>
          <w:cantSplit/>
          <w:trHeight w:val="669"/>
        </w:trPr>
        <w:tc>
          <w:tcPr>
            <w:tcW w:w="661" w:type="dxa"/>
            <w:vMerge/>
            <w:vAlign w:val="center"/>
            <w:hideMark/>
          </w:tcPr>
          <w:p w:rsidR="00CF2C4C" w:rsidRPr="00701782" w:rsidRDefault="00CF2C4C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CF2C4C" w:rsidRPr="00701782" w:rsidRDefault="00CF2C4C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CF2C4C" w:rsidRPr="00701782" w:rsidRDefault="00CF2C4C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CF2C4C" w:rsidRPr="00701782" w:rsidRDefault="00CF2C4C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CF2C4C" w:rsidRPr="00701782" w:rsidRDefault="00CF2C4C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CF2C4C" w:rsidRPr="00701782" w:rsidRDefault="00CF2C4C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shd w:val="clear" w:color="auto" w:fill="FFFFFF"/>
          </w:tcPr>
          <w:p w:rsidR="00CF2C4C" w:rsidRPr="00701782" w:rsidRDefault="00CF2C4C" w:rsidP="00CF2C4C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43</w:t>
            </w:r>
            <w:r>
              <w:rPr>
                <w:rFonts w:eastAsia="Calibri"/>
                <w:lang w:eastAsia="ru-RU"/>
              </w:rPr>
              <w:t>480248</w:t>
            </w:r>
          </w:p>
        </w:tc>
        <w:tc>
          <w:tcPr>
            <w:tcW w:w="4039" w:type="dxa"/>
            <w:vMerge/>
            <w:vAlign w:val="center"/>
            <w:hideMark/>
          </w:tcPr>
          <w:p w:rsidR="00CF2C4C" w:rsidRPr="00701782" w:rsidRDefault="00CF2C4C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9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>1.1.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pStyle w:val="Point"/>
              <w:spacing w:before="0" w:line="200" w:lineRule="atLeast"/>
              <w:ind w:firstLine="0"/>
              <w:rPr>
                <w:sz w:val="22"/>
                <w:szCs w:val="22"/>
                <w:lang w:bidi="hi-IN"/>
              </w:rPr>
            </w:pPr>
            <w:r w:rsidRPr="009D3C9B">
              <w:rPr>
                <w:sz w:val="22"/>
                <w:szCs w:val="22"/>
                <w:lang w:eastAsia="en-US" w:bidi="hi-IN"/>
              </w:rPr>
              <w:t xml:space="preserve">функционирование деятельности администрации Лебяжского муниципального округа, в том числе   финансового управления </w:t>
            </w:r>
            <w:r w:rsidRPr="009D3C9B">
              <w:rPr>
                <w:sz w:val="22"/>
                <w:szCs w:val="22"/>
                <w:lang w:eastAsia="en-US" w:bidi="hi-IN"/>
              </w:rPr>
              <w:lastRenderedPageBreak/>
              <w:t>администрации Лебяжского муниципального округа, управления по культуре, физкультуре и делам молодежи администрации Лебяжского муниципального округа, управления образования администрации Лебяжского муниципального округа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администрация Лебяжского округа  Кировской области </w:t>
            </w:r>
          </w:p>
          <w:p w:rsidR="00061CC3" w:rsidRDefault="00061CC3" w:rsidP="001C2304">
            <w:pPr>
              <w:jc w:val="both"/>
              <w:rPr>
                <w:sz w:val="22"/>
                <w:szCs w:val="22"/>
                <w:lang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t>(Логинова Татьяна Ивановна, управляющий делами)</w:t>
            </w:r>
          </w:p>
          <w:p w:rsidR="00061CC3" w:rsidRDefault="00061CC3" w:rsidP="001C2304">
            <w:pPr>
              <w:jc w:val="both"/>
              <w:rPr>
                <w:sz w:val="22"/>
                <w:szCs w:val="22"/>
                <w:lang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t>финансовое управление администрации округа</w:t>
            </w:r>
          </w:p>
          <w:p w:rsidR="00061CC3" w:rsidRDefault="00061CC3" w:rsidP="001C2304">
            <w:pPr>
              <w:jc w:val="both"/>
              <w:rPr>
                <w:sz w:val="22"/>
                <w:szCs w:val="22"/>
                <w:lang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  <w:lang w:eastAsia="en-US" w:bidi="hi-IN"/>
              </w:rPr>
              <w:t>Скаредина</w:t>
            </w:r>
            <w:proofErr w:type="spellEnd"/>
            <w:r>
              <w:rPr>
                <w:color w:val="000000"/>
                <w:sz w:val="22"/>
                <w:szCs w:val="22"/>
                <w:lang w:eastAsia="en-US" w:bidi="hi-IN"/>
              </w:rPr>
              <w:t xml:space="preserve"> Надежда </w:t>
            </w:r>
            <w:proofErr w:type="spellStart"/>
            <w:r>
              <w:rPr>
                <w:color w:val="000000"/>
                <w:sz w:val="22"/>
                <w:szCs w:val="22"/>
                <w:lang w:eastAsia="en-US" w:bidi="hi-IN"/>
              </w:rPr>
              <w:t>Ильдусовна</w:t>
            </w:r>
            <w:proofErr w:type="spellEnd"/>
            <w:r>
              <w:rPr>
                <w:color w:val="000000"/>
                <w:sz w:val="22"/>
                <w:szCs w:val="22"/>
                <w:lang w:eastAsia="en-US" w:bidi="hi-IN"/>
              </w:rPr>
              <w:t xml:space="preserve">, заместитель главы </w:t>
            </w:r>
            <w:r>
              <w:rPr>
                <w:color w:val="000000"/>
                <w:sz w:val="22"/>
                <w:szCs w:val="22"/>
                <w:lang w:eastAsia="en-US" w:bidi="hi-IN"/>
              </w:rPr>
              <w:lastRenderedPageBreak/>
              <w:t>администрации округа по экономике и финансам, начальник финансового управления)</w:t>
            </w:r>
          </w:p>
          <w:p w:rsidR="00061CC3" w:rsidRDefault="00061CC3" w:rsidP="001C2304">
            <w:pPr>
              <w:jc w:val="both"/>
              <w:rPr>
                <w:sz w:val="22"/>
                <w:szCs w:val="22"/>
                <w:lang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t>управление по культуре, физкультуре и делам молодежи    (</w:t>
            </w:r>
            <w:proofErr w:type="spellStart"/>
            <w:r>
              <w:rPr>
                <w:color w:val="000000"/>
                <w:sz w:val="22"/>
                <w:szCs w:val="22"/>
                <w:lang w:eastAsia="en-US" w:bidi="hi-IN"/>
              </w:rPr>
              <w:t>Новгородцева</w:t>
            </w:r>
            <w:proofErr w:type="spellEnd"/>
            <w:r>
              <w:rPr>
                <w:color w:val="000000"/>
                <w:sz w:val="22"/>
                <w:szCs w:val="22"/>
                <w:lang w:eastAsia="en-US" w:bidi="hi-IN"/>
              </w:rPr>
              <w:t xml:space="preserve"> Елена Александровна, начальник управления по культуре, физкультуре  и делам молодежи)</w:t>
            </w:r>
          </w:p>
          <w:p w:rsidR="00061CC3" w:rsidRDefault="00061CC3" w:rsidP="001C2304">
            <w:pPr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t>управление образования администрации Лебяжского округа (</w:t>
            </w:r>
            <w:proofErr w:type="spellStart"/>
            <w:r>
              <w:rPr>
                <w:color w:val="000000"/>
                <w:sz w:val="22"/>
                <w:szCs w:val="22"/>
                <w:lang w:eastAsia="en-US" w:bidi="hi-IN"/>
              </w:rPr>
              <w:t>Редкин</w:t>
            </w:r>
            <w:proofErr w:type="spellEnd"/>
            <w:r>
              <w:rPr>
                <w:color w:val="000000"/>
                <w:sz w:val="22"/>
                <w:szCs w:val="22"/>
                <w:lang w:eastAsia="en-US" w:bidi="hi-IN"/>
              </w:rPr>
              <w:t xml:space="preserve"> Владимир Викторович, заместитель главы администрации округа по социальным вопросам, начальник управления образования)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lastRenderedPageBreak/>
              <w:t>2023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061CC3" w:rsidRPr="0053478A" w:rsidRDefault="00CF2C4C" w:rsidP="001C2304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>
              <w:t>41204783</w:t>
            </w:r>
            <w:r w:rsidR="00061CC3">
              <w:t xml:space="preserve"> 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061CC3" w:rsidRDefault="00061CC3" w:rsidP="001C2304">
            <w:pPr>
              <w:snapToGrid w:val="0"/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bidi="hi-IN"/>
              </w:rPr>
              <w:t xml:space="preserve">Отсутствие нормативных правовых актов администрации Лебяжского муниципального округа, противоречащих федеральному и областному законодательству по решению суда и не приведенных  в соответствие в течение установленного федеральным законодательством срока </w:t>
            </w:r>
            <w:r>
              <w:rPr>
                <w:sz w:val="22"/>
                <w:szCs w:val="22"/>
                <w:lang w:bidi="hi-IN"/>
              </w:rPr>
              <w:lastRenderedPageBreak/>
              <w:t>со дня вступления решения  суда в законную силу;</w:t>
            </w:r>
          </w:p>
          <w:p w:rsidR="00061CC3" w:rsidRDefault="00061CC3" w:rsidP="001C2304">
            <w:pPr>
              <w:snapToGrid w:val="0"/>
              <w:jc w:val="both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отсутствие обращений граждан  в  администрацию Лебяжского муниципального округа, рассмотренных с нарушением  сроков, установленных законодательством;</w:t>
            </w:r>
          </w:p>
          <w:p w:rsidR="00061CC3" w:rsidRDefault="00061CC3" w:rsidP="001C2304">
            <w:pPr>
              <w:snapToGrid w:val="0"/>
              <w:jc w:val="both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 xml:space="preserve"> удовлетворенность  населения Лебяжского  округа работой учреждений дошкольного образования не менее чем на 93,3%;</w:t>
            </w:r>
          </w:p>
          <w:p w:rsidR="00061CC3" w:rsidRDefault="00061CC3" w:rsidP="001C2304">
            <w:pPr>
              <w:pStyle w:val="ConsPlusNormal"/>
              <w:jc w:val="both"/>
              <w:rPr>
                <w:lang w:bidi="hi-IN"/>
              </w:rPr>
            </w:pPr>
            <w:r>
              <w:rPr>
                <w:rFonts w:ascii="Times New Roman" w:hAnsi="Times New Roman" w:cs="Times New Roman"/>
                <w:lang w:bidi="hi-IN"/>
              </w:rPr>
              <w:t>удовлетворенность  населения Лебяжского  округа работой учреждений общего  образования не менее чем на 90,2%;</w:t>
            </w:r>
          </w:p>
          <w:p w:rsidR="00061CC3" w:rsidRDefault="00061CC3" w:rsidP="001C2304">
            <w:pPr>
              <w:pStyle w:val="ConsPlusNormal"/>
              <w:jc w:val="both"/>
              <w:rPr>
                <w:lang w:bidi="hi-IN"/>
              </w:rPr>
            </w:pPr>
            <w:r>
              <w:rPr>
                <w:rFonts w:ascii="Times New Roman" w:hAnsi="Times New Roman" w:cs="Times New Roman"/>
                <w:lang w:bidi="hi-IN"/>
              </w:rPr>
              <w:t>удовлетворенность  населения Лебяжского  округа работой учреждений дополнительного образования не менее чем на 92,6%;</w:t>
            </w:r>
          </w:p>
          <w:p w:rsidR="00061CC3" w:rsidRDefault="00061CC3" w:rsidP="001C2304">
            <w:pPr>
              <w:snapToGrid w:val="0"/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bidi="hi-IN"/>
              </w:rPr>
              <w:t>удовлетворенность населения Лебяжского округа  работой  учреждений культуры не менее чем на 76%.</w:t>
            </w: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061CC3" w:rsidRDefault="00061CC3" w:rsidP="001C2304">
            <w:pPr>
              <w:rPr>
                <w:sz w:val="22"/>
                <w:szCs w:val="22"/>
                <w:lang w:eastAsia="en-US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061CC3" w:rsidRDefault="00061CC3" w:rsidP="001C2304">
            <w:pPr>
              <w:pStyle w:val="Point"/>
              <w:spacing w:before="0" w:line="200" w:lineRule="atLeast"/>
              <w:ind w:firstLine="0"/>
              <w:rPr>
                <w:sz w:val="22"/>
                <w:szCs w:val="22"/>
                <w:lang w:eastAsia="en-US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061CC3" w:rsidRDefault="00061CC3" w:rsidP="001C2304">
            <w:pPr>
              <w:rPr>
                <w:color w:val="000000"/>
                <w:sz w:val="22"/>
                <w:szCs w:val="22"/>
                <w:lang w:eastAsia="en-US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061CC3" w:rsidRDefault="00061CC3" w:rsidP="001C2304">
            <w:pPr>
              <w:rPr>
                <w:sz w:val="22"/>
                <w:szCs w:val="22"/>
                <w:lang w:eastAsia="en-US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061CC3" w:rsidRDefault="00061CC3" w:rsidP="001C2304">
            <w:pPr>
              <w:rPr>
                <w:sz w:val="22"/>
                <w:szCs w:val="22"/>
                <w:lang w:eastAsia="en-US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CF0FBF">
              <w:rPr>
                <w:rFonts w:eastAsia="SimSun"/>
                <w:lang w:eastAsia="en-US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53478A" w:rsidRDefault="00061CC3" w:rsidP="001C2304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3478A">
              <w:rPr>
                <w:sz w:val="24"/>
                <w:szCs w:val="24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</w:tcPr>
          <w:p w:rsidR="00061CC3" w:rsidRDefault="00061CC3" w:rsidP="001C2304">
            <w:pPr>
              <w:snapToGrid w:val="0"/>
              <w:jc w:val="both"/>
              <w:rPr>
                <w:sz w:val="22"/>
                <w:szCs w:val="22"/>
                <w:lang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061CC3" w:rsidRDefault="00061CC3" w:rsidP="001C2304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8200200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7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Default="00061CC3" w:rsidP="00CF2C4C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3</w:t>
            </w:r>
            <w:r w:rsidR="00CF2C4C">
              <w:rPr>
                <w:sz w:val="22"/>
                <w:szCs w:val="22"/>
              </w:rPr>
              <w:t>3004583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widowControl w:val="0"/>
              <w:snapToGrid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snapToGrid w:val="0"/>
              <w:jc w:val="center"/>
              <w:rPr>
                <w:color w:val="00000A"/>
                <w:kern w:val="2"/>
                <w:lang w:eastAsia="zh-CN" w:bidi="hi-IN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6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lastRenderedPageBreak/>
              <w:t>1.2.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061CC3" w:rsidRDefault="00061CC3" w:rsidP="001C2304">
            <w:pPr>
              <w:pStyle w:val="ConsPlusNonformat"/>
              <w:snapToGrid w:val="0"/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bidi="hi-IN"/>
              </w:rPr>
              <w:t>обеспечение  хозяйственной деятельности администрации Лебяжского муниципального округа</w:t>
            </w:r>
          </w:p>
          <w:p w:rsidR="00061CC3" w:rsidRDefault="00061CC3" w:rsidP="001C2304">
            <w:pPr>
              <w:jc w:val="both"/>
              <w:rPr>
                <w:sz w:val="22"/>
                <w:szCs w:val="22"/>
                <w:lang w:bidi="hi-IN"/>
              </w:rPr>
            </w:pPr>
          </w:p>
          <w:p w:rsidR="00061CC3" w:rsidRDefault="00061CC3" w:rsidP="001C2304">
            <w:pPr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t>муниципальное казенное  учреждение «</w:t>
            </w:r>
            <w:r w:rsidRPr="009D3C9B">
              <w:rPr>
                <w:color w:val="000000"/>
                <w:sz w:val="22"/>
                <w:szCs w:val="22"/>
                <w:lang w:eastAsia="en-US" w:bidi="hi-IN"/>
              </w:rPr>
              <w:t>Служба хозяйственного и технического обеспечения администрации Лебяжского муниципального округа Кировской области</w:t>
            </w:r>
            <w:r>
              <w:rPr>
                <w:color w:val="000000"/>
                <w:sz w:val="22"/>
                <w:szCs w:val="22"/>
                <w:lang w:eastAsia="en-US" w:bidi="hi-IN"/>
              </w:rPr>
              <w:t>»</w:t>
            </w:r>
          </w:p>
          <w:p w:rsidR="00061CC3" w:rsidRDefault="00061CC3" w:rsidP="001C2304">
            <w:pPr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t>(Михеев Николай Александрович,  директор)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widowControl w:val="0"/>
              <w:snapToGrid w:val="0"/>
              <w:spacing w:line="100" w:lineRule="atLeast"/>
              <w:jc w:val="both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CF2C4C" w:rsidP="001C2304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8067845</w:t>
            </w:r>
            <w:r w:rsidR="0006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061CC3" w:rsidRDefault="00061CC3" w:rsidP="001C2304">
            <w:pPr>
              <w:pStyle w:val="ConsPlusNormal"/>
              <w:snapToGrid w:val="0"/>
              <w:jc w:val="both"/>
              <w:rPr>
                <w:lang w:eastAsia="zh-CN" w:bidi="hi-IN"/>
              </w:rPr>
            </w:pPr>
            <w:r>
              <w:rPr>
                <w:rFonts w:ascii="Times New Roman" w:hAnsi="Times New Roman" w:cs="Times New Roman"/>
                <w:lang w:bidi="hi-IN"/>
              </w:rPr>
              <w:t>Хозяйственное и техническое обеспечение деятельности  администрации Лебяжского муниципального округа; создание условий для комфортной работы сотрудников администрации.</w:t>
            </w: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>
              <w:rPr>
                <w:color w:val="00000A"/>
                <w:kern w:val="2"/>
                <w:lang w:eastAsia="zh-CN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45"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061CC3" w:rsidRPr="00182649" w:rsidRDefault="00CF2C4C" w:rsidP="001C2304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2035800</w:t>
            </w:r>
          </w:p>
          <w:p w:rsidR="00061CC3" w:rsidRDefault="00061CC3" w:rsidP="001C2304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50"/>
        </w:trPr>
        <w:tc>
          <w:tcPr>
            <w:tcW w:w="661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Местный</w:t>
            </w:r>
          </w:p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Default="00CF2C4C" w:rsidP="001C2304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6032045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61CC3" w:rsidRDefault="00061CC3" w:rsidP="001C2304">
            <w:pPr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>1.5.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pStyle w:val="ConsPlusNonformat"/>
              <w:snapToGrid w:val="0"/>
              <w:jc w:val="both"/>
              <w:rPr>
                <w:sz w:val="22"/>
                <w:szCs w:val="22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 w:bidi="hi-IN"/>
              </w:rPr>
              <w:t xml:space="preserve">составление списков присяжных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 w:bidi="hi-IN"/>
              </w:rPr>
              <w:lastRenderedPageBreak/>
              <w:t>заседателей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администрация Лебяжского округа  Кировской области </w:t>
            </w:r>
          </w:p>
          <w:p w:rsidR="00061CC3" w:rsidRDefault="00061CC3" w:rsidP="001C2304">
            <w:pPr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sz w:val="22"/>
                <w:szCs w:val="22"/>
                <w:lang w:eastAsia="en-US" w:bidi="hi-IN"/>
              </w:rPr>
              <w:lastRenderedPageBreak/>
              <w:t>(</w:t>
            </w:r>
            <w:r w:rsidRPr="00C66D3C">
              <w:rPr>
                <w:color w:val="000000"/>
                <w:sz w:val="22"/>
                <w:szCs w:val="22"/>
                <w:lang w:eastAsia="en-US" w:bidi="hi-IN"/>
              </w:rPr>
              <w:t>Мальцева Надежда Ивановна, главный специалист, юрисконсульт  организационно-правового управления</w:t>
            </w:r>
            <w:r>
              <w:rPr>
                <w:color w:val="000000"/>
                <w:sz w:val="22"/>
                <w:szCs w:val="22"/>
                <w:lang w:eastAsia="en-US" w:bidi="hi-IN"/>
              </w:rPr>
              <w:t>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lastRenderedPageBreak/>
              <w:t>2023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061CC3" w:rsidRPr="00CF0FBF" w:rsidRDefault="00061CC3" w:rsidP="001C2304">
            <w:pPr>
              <w:widowControl w:val="0"/>
              <w:snapToGrid w:val="0"/>
              <w:spacing w:line="100" w:lineRule="atLeast"/>
              <w:rPr>
                <w:rFonts w:eastAsia="SimSun"/>
                <w:color w:val="00000A"/>
                <w:kern w:val="2"/>
                <w:lang w:eastAsia="en-US" w:bidi="hi-IN"/>
              </w:rPr>
            </w:pPr>
          </w:p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CF2C4C" w:rsidP="001C23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6700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061CC3" w:rsidRDefault="00061CC3" w:rsidP="001C2304">
            <w:pPr>
              <w:snapToGrid w:val="0"/>
              <w:jc w:val="both"/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 xml:space="preserve">Внесение изменений и дополнений в списки кандидатов в присяжные </w:t>
            </w:r>
            <w:r>
              <w:rPr>
                <w:sz w:val="22"/>
                <w:szCs w:val="22"/>
                <w:lang w:eastAsia="en-US" w:bidi="hi-IN"/>
              </w:rPr>
              <w:lastRenderedPageBreak/>
              <w:t xml:space="preserve">заседатели  для Центрального окружного военного суда и Пермского гарнизонного военного суда в порядке и в сроки, установленные  законодательством </w:t>
            </w: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CF2C4C" w:rsidP="001C23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061CC3" w:rsidTr="001C23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1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widowControl w:val="0"/>
              <w:spacing w:line="100" w:lineRule="atLeast"/>
              <w:rPr>
                <w:color w:val="00000A"/>
                <w:kern w:val="2"/>
                <w:lang w:eastAsia="zh-CN" w:bidi="hi-IN"/>
              </w:rPr>
            </w:pPr>
            <w:r w:rsidRPr="00CF0FBF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061CC3" w:rsidRPr="00CF0FBF" w:rsidRDefault="00061CC3" w:rsidP="001C23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F0F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61CC3" w:rsidRPr="00CF0FBF" w:rsidRDefault="00061CC3" w:rsidP="001C2304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061CC3" w:rsidRDefault="00061CC3" w:rsidP="001C2304">
            <w:pPr>
              <w:rPr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:rsidR="009C530B" w:rsidRDefault="009C530B" w:rsidP="00701782">
      <w:pPr>
        <w:autoSpaceDE w:val="0"/>
        <w:jc w:val="center"/>
        <w:rPr>
          <w:rFonts w:ascii="Courier New" w:hAnsi="Courier New" w:cs="Courier New"/>
          <w:sz w:val="28"/>
          <w:szCs w:val="28"/>
        </w:rPr>
      </w:pPr>
    </w:p>
    <w:p w:rsidR="00701782" w:rsidRPr="00701782" w:rsidRDefault="00701782" w:rsidP="00701782">
      <w:pPr>
        <w:autoSpaceDE w:val="0"/>
        <w:jc w:val="center"/>
        <w:rPr>
          <w:rFonts w:ascii="Courier New" w:hAnsi="Courier New" w:cs="Courier New"/>
          <w:b/>
          <w:sz w:val="28"/>
          <w:szCs w:val="28"/>
        </w:rPr>
      </w:pPr>
      <w:r w:rsidRPr="00701782">
        <w:rPr>
          <w:rFonts w:ascii="Courier New" w:hAnsi="Courier New" w:cs="Courier New"/>
          <w:sz w:val="28"/>
          <w:szCs w:val="28"/>
        </w:rPr>
        <w:t xml:space="preserve">      </w:t>
      </w:r>
      <w:r w:rsidRPr="00701782">
        <w:rPr>
          <w:sz w:val="28"/>
          <w:szCs w:val="28"/>
        </w:rPr>
        <w:t>_____________</w:t>
      </w:r>
    </w:p>
    <w:p w:rsidR="00701782" w:rsidRDefault="00701782" w:rsidP="0070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  <w:sectPr w:rsidR="00701782" w:rsidSect="00701782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9F1691" w:rsidRDefault="009F1691" w:rsidP="0070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9F169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FC3" w:rsidRDefault="009C530B">
      <w:r>
        <w:separator/>
      </w:r>
    </w:p>
  </w:endnote>
  <w:endnote w:type="continuationSeparator" w:id="0">
    <w:p w:rsidR="001A2FC3" w:rsidRDefault="009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FC3" w:rsidRDefault="009C530B">
      <w:r>
        <w:separator/>
      </w:r>
    </w:p>
  </w:footnote>
  <w:footnote w:type="continuationSeparator" w:id="0">
    <w:p w:rsidR="001A2FC3" w:rsidRDefault="009C5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1E" w:rsidRDefault="000F58DE">
    <w:pPr>
      <w:pStyle w:val="a9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5" type="#_x0000_t75" alt="Лебяжский%20р-н%20(герб)%20с%20вольн%20частью" style="width:42.1pt;height:53.3pt;visibility:visible">
          <v:imagedata r:id="rId1" o:title="" grayscale="t"/>
        </v:shape>
      </w:pict>
    </w:r>
  </w:p>
  <w:p w:rsidR="0093111E" w:rsidRDefault="000F58DE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91"/>
    <w:rsid w:val="00061CC3"/>
    <w:rsid w:val="000F58DE"/>
    <w:rsid w:val="001A2FC3"/>
    <w:rsid w:val="00701782"/>
    <w:rsid w:val="009C530B"/>
    <w:rsid w:val="009F1691"/>
    <w:rsid w:val="00CF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oint">
    <w:name w:val="Point"/>
    <w:basedOn w:val="a"/>
    <w:qFormat/>
    <w:rsid w:val="00061CC3"/>
    <w:pPr>
      <w:suppressAutoHyphens w:val="0"/>
      <w:spacing w:before="120" w:line="288" w:lineRule="auto"/>
      <w:ind w:firstLine="720"/>
      <w:jc w:val="both"/>
    </w:pPr>
    <w:rPr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oint">
    <w:name w:val="Point"/>
    <w:basedOn w:val="a"/>
    <w:qFormat/>
    <w:rsid w:val="00061CC3"/>
    <w:pPr>
      <w:suppressAutoHyphens w:val="0"/>
      <w:spacing w:before="120" w:line="288" w:lineRule="auto"/>
      <w:ind w:firstLine="720"/>
      <w:jc w:val="both"/>
    </w:pPr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C20AF-FEB7-413C-AAFA-803036EB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579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 сектора ЖКХ</dc:creator>
  <cp:lastModifiedBy>User</cp:lastModifiedBy>
  <cp:revision>4</cp:revision>
  <cp:lastPrinted>2023-09-28T10:38:00Z</cp:lastPrinted>
  <dcterms:created xsi:type="dcterms:W3CDTF">2023-09-22T08:13:00Z</dcterms:created>
  <dcterms:modified xsi:type="dcterms:W3CDTF">2023-09-28T10:41:00Z</dcterms:modified>
</cp:coreProperties>
</file>