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D72" w:rsidRDefault="009C09D6">
      <w:pPr>
        <w:spacing w:line="360" w:lineRule="auto"/>
        <w:jc w:val="center"/>
        <w:rPr>
          <w:rFonts w:ascii="Times New Roman" w:hAnsi="Times New Roman" w:cs="Times New Roman"/>
          <w:sz w:val="28"/>
          <w:szCs w:val="28"/>
        </w:rPr>
      </w:pPr>
      <w:r>
        <w:rPr>
          <w:noProof/>
          <w:sz w:val="28"/>
          <w:szCs w:val="28"/>
          <w:lang w:eastAsia="ru-RU"/>
        </w:rPr>
        <w:drawing>
          <wp:inline distT="0" distB="0" distL="0" distR="0">
            <wp:extent cx="552450" cy="7048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blip>
                    <a:srcRect/>
                    <a:stretch>
                      <a:fillRect/>
                    </a:stretch>
                  </pic:blipFill>
                  <pic:spPr bwMode="auto">
                    <a:xfrm>
                      <a:off x="0" y="0"/>
                      <a:ext cx="552450" cy="704850"/>
                    </a:xfrm>
                    <a:prstGeom prst="rect">
                      <a:avLst/>
                    </a:prstGeom>
                    <a:solidFill>
                      <a:srgbClr val="FFFFFF">
                        <a:alpha val="0"/>
                      </a:srgbClr>
                    </a:solidFill>
                    <a:ln w="9525">
                      <a:noFill/>
                      <a:miter lim="800000"/>
                      <a:headEnd/>
                      <a:tailEnd/>
                    </a:ln>
                  </pic:spPr>
                </pic:pic>
              </a:graphicData>
            </a:graphic>
          </wp:inline>
        </w:drawing>
      </w:r>
    </w:p>
    <w:tbl>
      <w:tblPr>
        <w:tblpPr w:leftFromText="180" w:rightFromText="180" w:vertAnchor="page" w:horzAnchor="margin" w:tblpY="2488"/>
        <w:tblW w:w="9747" w:type="dxa"/>
        <w:tblLayout w:type="fixed"/>
        <w:tblLook w:val="0000" w:firstRow="0" w:lastRow="0" w:firstColumn="0" w:lastColumn="0" w:noHBand="0" w:noVBand="0"/>
      </w:tblPr>
      <w:tblGrid>
        <w:gridCol w:w="9747"/>
      </w:tblGrid>
      <w:tr w:rsidR="00C21D72">
        <w:trPr>
          <w:trHeight w:val="33"/>
        </w:trPr>
        <w:tc>
          <w:tcPr>
            <w:tcW w:w="9747" w:type="dxa"/>
            <w:shd w:val="clear" w:color="auto" w:fill="auto"/>
          </w:tcPr>
          <w:p w:rsidR="00C21D72" w:rsidRDefault="009C09D6">
            <w:pPr>
              <w:pStyle w:val="Iioaioo"/>
              <w:tabs>
                <w:tab w:val="left" w:pos="708"/>
                <w:tab w:val="center" w:pos="4677"/>
                <w:tab w:val="right" w:pos="9612"/>
              </w:tabs>
              <w:spacing w:before="360" w:after="360"/>
              <w:ind w:right="-108"/>
              <w:rPr>
                <w:szCs w:val="28"/>
              </w:rPr>
            </w:pPr>
            <w:r>
              <w:rPr>
                <w:szCs w:val="28"/>
              </w:rPr>
              <w:t>АДМИНИСТРАЦИЯ ЛЕБЯЖСКОГО МУНИЦИПАЛЬНОГО ОКРУГА КИРОВСКОЙ ОБЛАСТИ</w:t>
            </w:r>
          </w:p>
          <w:p w:rsidR="00C21D72" w:rsidRDefault="009C09D6">
            <w:pPr>
              <w:pStyle w:val="Iioaioo"/>
              <w:tabs>
                <w:tab w:val="left" w:pos="708"/>
                <w:tab w:val="center" w:pos="4677"/>
                <w:tab w:val="right" w:pos="9612"/>
              </w:tabs>
              <w:spacing w:before="360" w:after="360"/>
              <w:ind w:right="-108"/>
            </w:pPr>
            <w:r>
              <w:rPr>
                <w:sz w:val="32"/>
                <w:szCs w:val="32"/>
              </w:rPr>
              <w:t>ПОСТАНОВЛЕНИЕ</w:t>
            </w:r>
          </w:p>
        </w:tc>
      </w:tr>
      <w:tr w:rsidR="00C21D72">
        <w:tblPrEx>
          <w:tblCellMar>
            <w:left w:w="0" w:type="dxa"/>
            <w:right w:w="0" w:type="dxa"/>
          </w:tblCellMar>
        </w:tblPrEx>
        <w:trPr>
          <w:trHeight w:val="18"/>
        </w:trPr>
        <w:tc>
          <w:tcPr>
            <w:tcW w:w="9747" w:type="dxa"/>
            <w:shd w:val="clear" w:color="auto" w:fill="auto"/>
          </w:tcPr>
          <w:p w:rsidR="00C21D72" w:rsidRDefault="00882569" w:rsidP="00882569">
            <w:pPr>
              <w:snapToGrid w:val="0"/>
              <w:rPr>
                <w:rFonts w:ascii="Times New Roman" w:hAnsi="Times New Roman" w:cs="Times New Roman"/>
                <w:position w:val="-5"/>
                <w:sz w:val="28"/>
                <w:szCs w:val="28"/>
              </w:rPr>
            </w:pPr>
            <w:r>
              <w:rPr>
                <w:rFonts w:ascii="Times New Roman" w:hAnsi="Times New Roman" w:cs="Times New Roman"/>
                <w:position w:val="-5"/>
                <w:sz w:val="28"/>
                <w:szCs w:val="28"/>
              </w:rPr>
              <w:t xml:space="preserve">  </w:t>
            </w:r>
            <w:r w:rsidRPr="005E0840">
              <w:rPr>
                <w:rFonts w:ascii="Times New Roman" w:hAnsi="Times New Roman" w:cs="Times New Roman"/>
                <w:position w:val="-5"/>
                <w:sz w:val="28"/>
                <w:szCs w:val="28"/>
                <w:u w:val="single"/>
              </w:rPr>
              <w:t>24.07.2023</w:t>
            </w:r>
            <w:r w:rsidR="009C09D6">
              <w:rPr>
                <w:rFonts w:ascii="Times New Roman" w:hAnsi="Times New Roman" w:cs="Times New Roman"/>
                <w:position w:val="-5"/>
                <w:sz w:val="28"/>
                <w:szCs w:val="28"/>
              </w:rPr>
              <w:t xml:space="preserve">                                                              </w:t>
            </w:r>
            <w:r w:rsidR="005E0840">
              <w:rPr>
                <w:rFonts w:ascii="Times New Roman" w:hAnsi="Times New Roman" w:cs="Times New Roman"/>
                <w:position w:val="-5"/>
                <w:sz w:val="28"/>
                <w:szCs w:val="28"/>
              </w:rPr>
              <w:t xml:space="preserve">                                          </w:t>
            </w:r>
            <w:r w:rsidR="009C09D6">
              <w:rPr>
                <w:rFonts w:ascii="Times New Roman" w:hAnsi="Times New Roman" w:cs="Times New Roman"/>
                <w:position w:val="-5"/>
                <w:sz w:val="28"/>
                <w:szCs w:val="28"/>
              </w:rPr>
              <w:t xml:space="preserve"> </w:t>
            </w:r>
            <w:r w:rsidR="009C09D6">
              <w:rPr>
                <w:rFonts w:ascii="Times New Roman" w:hAnsi="Times New Roman" w:cs="Times New Roman"/>
                <w:position w:val="-5"/>
                <w:sz w:val="28"/>
                <w:szCs w:val="28"/>
                <w:u w:val="single"/>
              </w:rPr>
              <w:t xml:space="preserve">№ </w:t>
            </w:r>
            <w:r w:rsidRPr="005E0840">
              <w:rPr>
                <w:rFonts w:ascii="Times New Roman" w:hAnsi="Times New Roman" w:cs="Times New Roman"/>
                <w:position w:val="-5"/>
                <w:sz w:val="28"/>
                <w:szCs w:val="28"/>
                <w:u w:val="single"/>
              </w:rPr>
              <w:t>400</w:t>
            </w:r>
            <w:r w:rsidR="009C09D6">
              <w:rPr>
                <w:rFonts w:ascii="Times New Roman" w:hAnsi="Times New Roman" w:cs="Times New Roman"/>
                <w:position w:val="-5"/>
                <w:sz w:val="28"/>
                <w:szCs w:val="28"/>
              </w:rPr>
              <w:t xml:space="preserve">                  </w:t>
            </w:r>
          </w:p>
        </w:tc>
      </w:tr>
      <w:tr w:rsidR="00C21D72">
        <w:tblPrEx>
          <w:tblCellMar>
            <w:left w:w="70" w:type="dxa"/>
            <w:right w:w="70" w:type="dxa"/>
          </w:tblCellMar>
        </w:tblPrEx>
        <w:trPr>
          <w:trHeight w:val="1453"/>
        </w:trPr>
        <w:tc>
          <w:tcPr>
            <w:tcW w:w="9747" w:type="dxa"/>
            <w:shd w:val="clear" w:color="auto" w:fill="auto"/>
          </w:tcPr>
          <w:p w:rsidR="00C21D72" w:rsidRDefault="009C09D6" w:rsidP="005E0840">
            <w:pPr>
              <w:tabs>
                <w:tab w:val="left" w:pos="2765"/>
              </w:tabs>
              <w:spacing w:after="240"/>
              <w:jc w:val="center"/>
              <w:rPr>
                <w:rFonts w:ascii="Times New Roman" w:hAnsi="Times New Roman" w:cs="Times New Roman"/>
                <w:b/>
                <w:sz w:val="28"/>
                <w:szCs w:val="28"/>
              </w:rPr>
            </w:pPr>
            <w:proofErr w:type="spellStart"/>
            <w:r>
              <w:rPr>
                <w:rFonts w:ascii="Times New Roman" w:hAnsi="Times New Roman" w:cs="Times New Roman"/>
                <w:b/>
                <w:sz w:val="28"/>
                <w:szCs w:val="28"/>
              </w:rPr>
              <w:t>пгт</w:t>
            </w:r>
            <w:proofErr w:type="spellEnd"/>
            <w:r>
              <w:rPr>
                <w:rFonts w:ascii="Times New Roman" w:hAnsi="Times New Roman" w:cs="Times New Roman"/>
                <w:b/>
                <w:sz w:val="28"/>
                <w:szCs w:val="28"/>
              </w:rPr>
              <w:t xml:space="preserve"> Лебяжье</w:t>
            </w:r>
          </w:p>
          <w:p w:rsidR="00C21D72" w:rsidRDefault="009C09D6">
            <w:pPr>
              <w:spacing w:after="0" w:line="240" w:lineRule="auto"/>
              <w:jc w:val="center"/>
              <w:rPr>
                <w:rFonts w:ascii="Times New Roman" w:hAnsi="Times New Roman"/>
                <w:b/>
                <w:sz w:val="28"/>
                <w:szCs w:val="28"/>
              </w:rPr>
            </w:pPr>
            <w:bookmarkStart w:id="0" w:name="_GoBack"/>
            <w:r>
              <w:rPr>
                <w:rFonts w:ascii="Times New Roman" w:hAnsi="Times New Roman"/>
                <w:b/>
                <w:sz w:val="28"/>
                <w:szCs w:val="28"/>
              </w:rPr>
              <w:t xml:space="preserve">Об утверждении системы мониторинга состояния </w:t>
            </w:r>
          </w:p>
          <w:p w:rsidR="00C21D72" w:rsidRDefault="009C09D6">
            <w:pPr>
              <w:spacing w:after="0" w:line="240" w:lineRule="auto"/>
              <w:jc w:val="center"/>
              <w:rPr>
                <w:rFonts w:ascii="Times New Roman" w:hAnsi="Times New Roman"/>
                <w:b/>
                <w:sz w:val="28"/>
                <w:szCs w:val="28"/>
              </w:rPr>
            </w:pPr>
            <w:r>
              <w:rPr>
                <w:rFonts w:ascii="Times New Roman" w:hAnsi="Times New Roman"/>
                <w:b/>
                <w:sz w:val="28"/>
                <w:szCs w:val="28"/>
              </w:rPr>
              <w:t xml:space="preserve">систем теплоснабжения на территории </w:t>
            </w:r>
          </w:p>
          <w:p w:rsidR="00C21D72" w:rsidRDefault="009C09D6">
            <w:pPr>
              <w:spacing w:after="0" w:line="240" w:lineRule="auto"/>
              <w:jc w:val="center"/>
              <w:rPr>
                <w:rFonts w:ascii="Times New Roman" w:hAnsi="Times New Roman"/>
                <w:b/>
                <w:sz w:val="28"/>
                <w:szCs w:val="28"/>
              </w:rPr>
            </w:pPr>
            <w:r>
              <w:rPr>
                <w:rFonts w:ascii="Times New Roman" w:eastAsia="Times New Roman" w:hAnsi="Times New Roman"/>
                <w:b/>
                <w:sz w:val="28"/>
                <w:szCs w:val="28"/>
                <w:lang w:eastAsia="ru-RU"/>
              </w:rPr>
              <w:t>Лебяжского муниципального округа Кировской области</w:t>
            </w:r>
          </w:p>
          <w:bookmarkEnd w:id="0"/>
          <w:p w:rsidR="00C21D72" w:rsidRDefault="00C21D72">
            <w:pPr>
              <w:spacing w:after="0"/>
              <w:ind w:left="607" w:right="499"/>
              <w:jc w:val="center"/>
              <w:rPr>
                <w:b/>
              </w:rPr>
            </w:pPr>
          </w:p>
        </w:tc>
      </w:tr>
    </w:tbl>
    <w:p w:rsidR="00C21D72" w:rsidRDefault="00C21D72">
      <w:pPr>
        <w:tabs>
          <w:tab w:val="left" w:pos="993"/>
        </w:tabs>
        <w:spacing w:after="0" w:line="360" w:lineRule="auto"/>
        <w:jc w:val="both"/>
        <w:rPr>
          <w:rFonts w:ascii="Times New Roman" w:hAnsi="Times New Roman" w:cs="Times New Roman"/>
          <w:color w:val="000000" w:themeColor="text1"/>
          <w:sz w:val="28"/>
          <w:szCs w:val="28"/>
        </w:rPr>
      </w:pPr>
    </w:p>
    <w:p w:rsidR="00C21D72" w:rsidRPr="00DD29DE" w:rsidRDefault="009C09D6">
      <w:pPr>
        <w:tabs>
          <w:tab w:val="left" w:pos="993"/>
        </w:tabs>
        <w:spacing w:after="0" w:line="360" w:lineRule="auto"/>
        <w:ind w:firstLine="567"/>
        <w:jc w:val="both"/>
        <w:rPr>
          <w:rFonts w:ascii="Times New Roman" w:eastAsia="Times New Roman" w:hAnsi="Times New Roman" w:cs="Times New Roman"/>
          <w:sz w:val="28"/>
          <w:szCs w:val="28"/>
          <w:lang w:eastAsia="ru-RU"/>
        </w:rPr>
      </w:pPr>
      <w:r w:rsidRPr="00DD29DE">
        <w:rPr>
          <w:rFonts w:ascii="Times New Roman" w:eastAsia="Times New Roman" w:hAnsi="Times New Roman" w:cs="Times New Roman"/>
          <w:sz w:val="28"/>
          <w:szCs w:val="28"/>
          <w:lang w:eastAsia="ru-RU"/>
        </w:rPr>
        <w:t>В соответствии с </w:t>
      </w:r>
      <w:hyperlink r:id="rId10" w:history="1">
        <w:r w:rsidRPr="00DD29DE">
          <w:rPr>
            <w:rFonts w:ascii="Times New Roman" w:eastAsia="Times New Roman" w:hAnsi="Times New Roman" w:cs="Times New Roman"/>
            <w:sz w:val="28"/>
            <w:szCs w:val="28"/>
            <w:lang w:eastAsia="ru-RU"/>
          </w:rPr>
          <w:t>Федеральными законами от 06.10.2003 N 131-ФЗ «Об общих принципах организации местного самоуправления в Российской Федерации»</w:t>
        </w:r>
      </w:hyperlink>
      <w:r w:rsidRPr="00DD29DE">
        <w:rPr>
          <w:rFonts w:ascii="Times New Roman" w:eastAsia="Times New Roman" w:hAnsi="Times New Roman" w:cs="Times New Roman"/>
          <w:sz w:val="28"/>
          <w:szCs w:val="28"/>
          <w:lang w:eastAsia="ru-RU"/>
        </w:rPr>
        <w:t>, </w:t>
      </w:r>
      <w:hyperlink r:id="rId11" w:history="1">
        <w:r w:rsidRPr="00DD29DE">
          <w:rPr>
            <w:rFonts w:ascii="Times New Roman" w:eastAsia="Times New Roman" w:hAnsi="Times New Roman" w:cs="Times New Roman"/>
            <w:sz w:val="28"/>
            <w:szCs w:val="28"/>
            <w:lang w:eastAsia="ru-RU"/>
          </w:rPr>
          <w:t>от 27.07.2010 N 190-ФЗ «О теплоснабжении»</w:t>
        </w:r>
      </w:hyperlink>
      <w:r w:rsidRPr="00DD29DE">
        <w:rPr>
          <w:rFonts w:ascii="Times New Roman" w:eastAsia="Times New Roman" w:hAnsi="Times New Roman" w:cs="Times New Roman"/>
          <w:sz w:val="28"/>
          <w:szCs w:val="28"/>
          <w:lang w:eastAsia="ru-RU"/>
        </w:rPr>
        <w:t>, в целях получения оперативной информации и контроля надежности объектов и систем теплоснабжения на территории Лебяжского муниципального округа Кировской области  администрация муниципального округа ПОСТАНОВЛЯЕТ:</w:t>
      </w:r>
    </w:p>
    <w:p w:rsidR="00C21D72" w:rsidRPr="00DD29DE" w:rsidRDefault="009C09D6">
      <w:pPr>
        <w:tabs>
          <w:tab w:val="left" w:pos="993"/>
        </w:tabs>
        <w:spacing w:after="0" w:line="360" w:lineRule="auto"/>
        <w:jc w:val="both"/>
        <w:rPr>
          <w:rFonts w:ascii="Times New Roman" w:eastAsia="Times New Roman" w:hAnsi="Times New Roman" w:cs="Times New Roman"/>
          <w:sz w:val="28"/>
          <w:szCs w:val="28"/>
          <w:lang w:eastAsia="ru-RU"/>
        </w:rPr>
      </w:pPr>
      <w:r w:rsidRPr="00DD29DE">
        <w:rPr>
          <w:rFonts w:ascii="Times New Roman" w:eastAsia="Times New Roman" w:hAnsi="Times New Roman" w:cs="Times New Roman"/>
          <w:sz w:val="28"/>
          <w:szCs w:val="28"/>
          <w:lang w:eastAsia="ru-RU"/>
        </w:rPr>
        <w:t xml:space="preserve">        1.Утвердить систему мониторинга состояния системы теплоснабжения Лебяжского муниципального округа Кировской области.</w:t>
      </w:r>
    </w:p>
    <w:p w:rsidR="00C21D72" w:rsidRPr="00DD29DE" w:rsidRDefault="009C09D6">
      <w:pPr>
        <w:tabs>
          <w:tab w:val="left" w:pos="993"/>
        </w:tabs>
        <w:spacing w:after="0" w:line="360" w:lineRule="auto"/>
        <w:jc w:val="both"/>
        <w:rPr>
          <w:rFonts w:ascii="Times New Roman" w:eastAsia="Times New Roman" w:hAnsi="Times New Roman" w:cs="Times New Roman"/>
          <w:sz w:val="28"/>
          <w:szCs w:val="28"/>
          <w:lang w:eastAsia="ru-RU"/>
        </w:rPr>
      </w:pPr>
      <w:r w:rsidRPr="00DD29DE">
        <w:rPr>
          <w:rFonts w:ascii="Times New Roman" w:eastAsia="Times New Roman" w:hAnsi="Times New Roman" w:cs="Times New Roman"/>
          <w:sz w:val="28"/>
          <w:szCs w:val="28"/>
          <w:lang w:eastAsia="ru-RU"/>
        </w:rPr>
        <w:t xml:space="preserve">       2. Рекомендовать теплоснабжающим организациям руководствоваться в своей повседневной деятельности системой мониторинга состояния системы теплоснабжения Лебяжского муниципального округа Кировской области.</w:t>
      </w:r>
    </w:p>
    <w:p w:rsidR="00C21D72" w:rsidRPr="00DD29DE" w:rsidRDefault="009C09D6">
      <w:pPr>
        <w:tabs>
          <w:tab w:val="left" w:pos="993"/>
        </w:tabs>
        <w:spacing w:after="0" w:line="360" w:lineRule="auto"/>
        <w:jc w:val="both"/>
        <w:rPr>
          <w:rFonts w:ascii="Times New Roman" w:eastAsia="Times New Roman" w:hAnsi="Times New Roman" w:cs="Times New Roman"/>
          <w:sz w:val="28"/>
          <w:szCs w:val="28"/>
          <w:lang w:eastAsia="ru-RU"/>
        </w:rPr>
      </w:pPr>
      <w:r w:rsidRPr="00DD29DE">
        <w:rPr>
          <w:rFonts w:ascii="Times New Roman" w:eastAsia="Times New Roman" w:hAnsi="Times New Roman" w:cs="Times New Roman"/>
          <w:sz w:val="28"/>
          <w:szCs w:val="28"/>
          <w:lang w:eastAsia="ru-RU"/>
        </w:rPr>
        <w:t xml:space="preserve">      3. </w:t>
      </w:r>
      <w:proofErr w:type="gramStart"/>
      <w:r w:rsidRPr="00DD29DE">
        <w:rPr>
          <w:rFonts w:ascii="Times New Roman" w:eastAsia="Times New Roman" w:hAnsi="Times New Roman" w:cs="Times New Roman"/>
          <w:sz w:val="28"/>
          <w:szCs w:val="28"/>
          <w:lang w:eastAsia="ru-RU"/>
        </w:rPr>
        <w:t>Контроль за</w:t>
      </w:r>
      <w:proofErr w:type="gramEnd"/>
      <w:r w:rsidRPr="00DD29DE">
        <w:rPr>
          <w:rFonts w:ascii="Times New Roman" w:eastAsia="Times New Roman" w:hAnsi="Times New Roman" w:cs="Times New Roman"/>
          <w:sz w:val="28"/>
          <w:szCs w:val="28"/>
          <w:lang w:eastAsia="ru-RU"/>
        </w:rPr>
        <w:t xml:space="preserve"> исполнением настоящего постановления оставляю за собой.</w:t>
      </w:r>
    </w:p>
    <w:p w:rsidR="00C21D72" w:rsidRPr="005E0840" w:rsidRDefault="009C09D6" w:rsidP="005E0840">
      <w:pPr>
        <w:tabs>
          <w:tab w:val="left" w:pos="993"/>
        </w:tabs>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4. Настоящее постановление вступает в силу с момента официального опубликования.</w:t>
      </w:r>
    </w:p>
    <w:p w:rsidR="00DD29DE" w:rsidRDefault="00DD29DE">
      <w:pPr>
        <w:pStyle w:val="ConsPlusNormal"/>
        <w:spacing w:line="360" w:lineRule="auto"/>
        <w:rPr>
          <w:rFonts w:ascii="Times New Roman" w:eastAsiaTheme="minorHAnsi" w:hAnsi="Times New Roman" w:cs="Times New Roman"/>
          <w:color w:val="000000" w:themeColor="text1"/>
          <w:sz w:val="28"/>
          <w:szCs w:val="28"/>
          <w:lang w:eastAsia="en-US"/>
        </w:rPr>
      </w:pPr>
    </w:p>
    <w:p w:rsidR="00743DB0" w:rsidRPr="00882569" w:rsidRDefault="00743DB0" w:rsidP="00882569">
      <w:pPr>
        <w:pStyle w:val="ConsPlusNormal"/>
        <w:spacing w:line="360" w:lineRule="auto"/>
        <w:rPr>
          <w:rFonts w:ascii="Times New Roman" w:hAnsi="Times New Roman" w:cs="Times New Roman"/>
          <w:sz w:val="28"/>
          <w:szCs w:val="28"/>
        </w:rPr>
      </w:pPr>
      <w:r w:rsidRPr="00743DB0">
        <w:rPr>
          <w:rFonts w:ascii="Times New Roman" w:eastAsiaTheme="minorHAnsi" w:hAnsi="Times New Roman" w:cs="Times New Roman"/>
          <w:color w:val="000000" w:themeColor="text1"/>
          <w:sz w:val="28"/>
          <w:szCs w:val="28"/>
          <w:lang w:eastAsia="en-US"/>
        </w:rPr>
        <w:t>Глава Лебяж</w:t>
      </w:r>
      <w:r>
        <w:rPr>
          <w:rFonts w:ascii="Times New Roman" w:eastAsiaTheme="minorHAnsi" w:hAnsi="Times New Roman" w:cs="Times New Roman"/>
          <w:color w:val="000000" w:themeColor="text1"/>
          <w:sz w:val="28"/>
          <w:szCs w:val="28"/>
          <w:lang w:eastAsia="en-US"/>
        </w:rPr>
        <w:t xml:space="preserve">ского </w:t>
      </w:r>
      <w:r w:rsidRPr="00743DB0">
        <w:rPr>
          <w:rFonts w:ascii="Times New Roman" w:eastAsiaTheme="minorHAnsi" w:hAnsi="Times New Roman" w:cs="Times New Roman"/>
          <w:color w:val="000000" w:themeColor="text1"/>
          <w:sz w:val="28"/>
          <w:szCs w:val="28"/>
          <w:lang w:eastAsia="en-US"/>
        </w:rPr>
        <w:t>муниципального округа</w:t>
      </w:r>
      <w:r w:rsidR="00882569">
        <w:rPr>
          <w:rFonts w:ascii="Times New Roman" w:hAnsi="Times New Roman" w:cs="Times New Roman"/>
          <w:sz w:val="28"/>
          <w:szCs w:val="28"/>
        </w:rPr>
        <w:tab/>
        <w:t xml:space="preserve"> </w:t>
      </w:r>
      <w:r>
        <w:rPr>
          <w:rFonts w:ascii="Times New Roman" w:hAnsi="Times New Roman" w:cs="Times New Roman"/>
          <w:sz w:val="28"/>
          <w:szCs w:val="28"/>
        </w:rPr>
        <w:t xml:space="preserve">Т.А. </w:t>
      </w:r>
      <w:r w:rsidR="00882569">
        <w:rPr>
          <w:rFonts w:ascii="Times New Roman" w:hAnsi="Times New Roman" w:cs="Times New Roman"/>
          <w:sz w:val="28"/>
          <w:szCs w:val="28"/>
        </w:rPr>
        <w:t>Обухова</w:t>
      </w:r>
      <w:r w:rsidR="00642F3B">
        <w:rPr>
          <w:rFonts w:ascii="Times New Roman" w:hAnsi="Times New Roman" w:cs="Times New Roman"/>
          <w:sz w:val="20"/>
          <w:szCs w:val="20"/>
        </w:rPr>
        <w:t xml:space="preserve"> </w:t>
      </w:r>
    </w:p>
    <w:p w:rsidR="005E0840" w:rsidRDefault="009C09D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5E0840" w:rsidRDefault="005E0840">
      <w:pPr>
        <w:spacing w:after="0" w:line="240" w:lineRule="auto"/>
        <w:rPr>
          <w:rFonts w:ascii="Times New Roman" w:hAnsi="Times New Roman" w:cs="Times New Roman"/>
          <w:sz w:val="20"/>
          <w:szCs w:val="20"/>
        </w:rPr>
      </w:pPr>
    </w:p>
    <w:p w:rsidR="00C21D72" w:rsidRDefault="005E0840">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                                                                                                  </w:t>
      </w:r>
      <w:r w:rsidR="009C09D6">
        <w:rPr>
          <w:rFonts w:ascii="Times New Roman" w:hAnsi="Times New Roman" w:cs="Times New Roman"/>
          <w:sz w:val="20"/>
          <w:szCs w:val="20"/>
        </w:rPr>
        <w:t xml:space="preserve"> </w:t>
      </w:r>
      <w:r w:rsidR="009C09D6">
        <w:rPr>
          <w:rFonts w:ascii="Times New Roman" w:hAnsi="Times New Roman" w:cs="Times New Roman"/>
          <w:sz w:val="28"/>
        </w:rPr>
        <w:t xml:space="preserve">Приложение </w:t>
      </w:r>
    </w:p>
    <w:p w:rsidR="00C21D72" w:rsidRDefault="00C21D72">
      <w:pPr>
        <w:spacing w:after="0" w:line="240" w:lineRule="auto"/>
        <w:ind w:left="4962"/>
        <w:rPr>
          <w:rFonts w:ascii="Times New Roman" w:hAnsi="Times New Roman" w:cs="Times New Roman"/>
          <w:sz w:val="28"/>
        </w:rPr>
      </w:pPr>
    </w:p>
    <w:p w:rsidR="00C21D72" w:rsidRDefault="009C09D6">
      <w:pPr>
        <w:spacing w:after="0" w:line="240" w:lineRule="auto"/>
        <w:ind w:left="4962"/>
        <w:rPr>
          <w:rFonts w:ascii="Times New Roman" w:eastAsia="Times New Roman" w:hAnsi="Times New Roman" w:cs="Times New Roman"/>
          <w:sz w:val="28"/>
        </w:rPr>
      </w:pPr>
      <w:r>
        <w:rPr>
          <w:rFonts w:ascii="Times New Roman" w:hAnsi="Times New Roman" w:cs="Times New Roman"/>
          <w:sz w:val="28"/>
        </w:rPr>
        <w:t>УТВЕРЖДЕНО</w:t>
      </w:r>
    </w:p>
    <w:p w:rsidR="00C21D72" w:rsidRDefault="009C09D6">
      <w:pPr>
        <w:spacing w:after="0" w:line="240" w:lineRule="auto"/>
        <w:ind w:left="4962"/>
        <w:rPr>
          <w:rFonts w:ascii="Times New Roman" w:eastAsia="Times New Roman" w:hAnsi="Times New Roman" w:cs="Times New Roman"/>
          <w:sz w:val="28"/>
        </w:rPr>
      </w:pPr>
      <w:r>
        <w:rPr>
          <w:rFonts w:ascii="Times New Roman" w:eastAsia="Times New Roman" w:hAnsi="Times New Roman" w:cs="Times New Roman"/>
          <w:sz w:val="28"/>
        </w:rPr>
        <w:t xml:space="preserve">                                                                             постановлением администрации </w:t>
      </w:r>
      <w:r>
        <w:rPr>
          <w:rFonts w:ascii="Times New Roman" w:hAnsi="Times New Roman" w:cs="Times New Roman"/>
          <w:sz w:val="28"/>
        </w:rPr>
        <w:t>Лебяжского</w:t>
      </w:r>
      <w:r>
        <w:rPr>
          <w:rFonts w:ascii="Times New Roman" w:eastAsia="Times New Roman" w:hAnsi="Times New Roman" w:cs="Times New Roman"/>
          <w:sz w:val="28"/>
        </w:rPr>
        <w:t xml:space="preserve"> муниципального округа</w:t>
      </w:r>
    </w:p>
    <w:p w:rsidR="00C21D72" w:rsidRDefault="009C09D6">
      <w:pPr>
        <w:spacing w:after="0" w:line="240" w:lineRule="auto"/>
        <w:ind w:left="4962"/>
        <w:rPr>
          <w:rFonts w:ascii="Times New Roman" w:hAnsi="Times New Roman" w:cs="Times New Roman"/>
          <w:sz w:val="28"/>
        </w:rPr>
      </w:pPr>
      <w:r>
        <w:rPr>
          <w:rFonts w:ascii="Times New Roman" w:eastAsia="Times New Roman" w:hAnsi="Times New Roman" w:cs="Times New Roman"/>
          <w:sz w:val="28"/>
        </w:rPr>
        <w:t xml:space="preserve">                                                                        </w:t>
      </w:r>
      <w:r>
        <w:rPr>
          <w:rFonts w:ascii="Times New Roman" w:hAnsi="Times New Roman" w:cs="Times New Roman"/>
          <w:sz w:val="28"/>
        </w:rPr>
        <w:t xml:space="preserve">от </w:t>
      </w:r>
      <w:r w:rsidR="00882569" w:rsidRPr="005E0840">
        <w:rPr>
          <w:rFonts w:ascii="Times New Roman" w:hAnsi="Times New Roman" w:cs="Times New Roman"/>
          <w:sz w:val="28"/>
          <w:u w:val="single"/>
        </w:rPr>
        <w:t>24.07.2023</w:t>
      </w:r>
      <w:r>
        <w:rPr>
          <w:rFonts w:ascii="Times New Roman" w:hAnsi="Times New Roman" w:cs="Times New Roman"/>
          <w:sz w:val="28"/>
        </w:rPr>
        <w:t xml:space="preserve"> № </w:t>
      </w:r>
      <w:r w:rsidR="00882569" w:rsidRPr="005E0840">
        <w:rPr>
          <w:rFonts w:ascii="Times New Roman" w:hAnsi="Times New Roman" w:cs="Times New Roman"/>
          <w:sz w:val="28"/>
          <w:u w:val="single"/>
        </w:rPr>
        <w:t>400</w:t>
      </w:r>
    </w:p>
    <w:p w:rsidR="00C21D72" w:rsidRDefault="00C21D72">
      <w:pPr>
        <w:spacing w:after="0"/>
        <w:rPr>
          <w:rFonts w:ascii="Times New Roman" w:hAnsi="Times New Roman" w:cs="Times New Roman"/>
          <w:sz w:val="28"/>
        </w:rPr>
      </w:pPr>
    </w:p>
    <w:p w:rsidR="00C21D72" w:rsidRDefault="009C09D6">
      <w:pPr>
        <w:spacing w:after="0"/>
        <w:jc w:val="center"/>
        <w:rPr>
          <w:rFonts w:ascii="Times New Roman" w:hAnsi="Times New Roman"/>
          <w:b/>
          <w:sz w:val="28"/>
          <w:szCs w:val="28"/>
        </w:rPr>
      </w:pPr>
      <w:r>
        <w:rPr>
          <w:rFonts w:ascii="Times New Roman" w:hAnsi="Times New Roman"/>
          <w:b/>
          <w:sz w:val="28"/>
          <w:szCs w:val="28"/>
        </w:rPr>
        <w:t xml:space="preserve">Система мониторинга состояния систем теплоснабжения на территории </w:t>
      </w:r>
      <w:r>
        <w:rPr>
          <w:rFonts w:ascii="Times New Roman" w:eastAsia="Times New Roman" w:hAnsi="Times New Roman"/>
          <w:b/>
          <w:sz w:val="28"/>
          <w:szCs w:val="28"/>
          <w:lang w:eastAsia="ru-RU"/>
        </w:rPr>
        <w:t>Лебяжского муниципального округа</w:t>
      </w:r>
    </w:p>
    <w:p w:rsidR="00C21D72" w:rsidRDefault="00C21D72">
      <w:pPr>
        <w:spacing w:after="0"/>
        <w:jc w:val="center"/>
        <w:rPr>
          <w:rFonts w:ascii="Times New Roman" w:hAnsi="Times New Roman"/>
          <w:b/>
          <w:sz w:val="28"/>
          <w:szCs w:val="28"/>
        </w:rPr>
      </w:pPr>
    </w:p>
    <w:p w:rsidR="00C21D72" w:rsidRDefault="009C09D6">
      <w:pPr>
        <w:pStyle w:val="a5"/>
        <w:numPr>
          <w:ilvl w:val="0"/>
          <w:numId w:val="5"/>
        </w:numPr>
        <w:spacing w:after="0" w:line="240" w:lineRule="auto"/>
        <w:rPr>
          <w:rFonts w:ascii="Times New Roman" w:hAnsi="Times New Roman" w:cs="Times New Roman"/>
          <w:b/>
          <w:sz w:val="28"/>
          <w:szCs w:val="28"/>
        </w:rPr>
      </w:pPr>
      <w:r>
        <w:rPr>
          <w:rFonts w:ascii="Times New Roman" w:hAnsi="Times New Roman" w:cs="Times New Roman"/>
          <w:b/>
          <w:sz w:val="28"/>
          <w:szCs w:val="28"/>
        </w:rPr>
        <w:t>Вступление</w:t>
      </w:r>
    </w:p>
    <w:p w:rsidR="00C21D72" w:rsidRDefault="00C21D72">
      <w:pPr>
        <w:spacing w:after="0" w:line="240" w:lineRule="auto"/>
        <w:ind w:left="708"/>
        <w:jc w:val="both"/>
        <w:rPr>
          <w:rFonts w:ascii="Times New Roman" w:hAnsi="Times New Roman" w:cs="Times New Roman"/>
          <w:b/>
          <w:sz w:val="28"/>
          <w:szCs w:val="28"/>
        </w:rPr>
      </w:pP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Эксплуатация тепловых сетей в современных условиях требует наряду с обеспечением надежного и бесперебойного теплоснабжения потребителей с заданными технологическими параметрами, акцентировать внимание на снижении издержек при транспорте тепловой энергии, т.е. на вопросах экономической эффективности. Однако реальное состояние тепловых сетей таково, что основной задачей является недопущение аварий на тепловых сетях.</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настоящее время актуальной является задача осуществления мониторинга состояния технологического оборудования и тепловых сетей.</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Входные данные мониторинга должны строго соответствовать требованиям системы по актуальности и достоверности.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Система мониторинга включает в себя:</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Систему сбора данных;</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Систему хранения, обработки и представления данных;</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Систему анализа и выдачи информации для принятия решения.</w:t>
      </w:r>
    </w:p>
    <w:p w:rsidR="00C21D72" w:rsidRDefault="00C21D72">
      <w:pPr>
        <w:spacing w:line="240" w:lineRule="auto"/>
        <w:ind w:firstLine="426"/>
        <w:jc w:val="both"/>
        <w:rPr>
          <w:rFonts w:ascii="Times New Roman" w:eastAsia="Times New Roman" w:hAnsi="Times New Roman" w:cs="Times New Roman"/>
          <w:color w:val="000000"/>
          <w:sz w:val="28"/>
          <w:szCs w:val="28"/>
          <w:lang w:eastAsia="ru-RU"/>
        </w:rPr>
      </w:pPr>
    </w:p>
    <w:p w:rsidR="00C21D72" w:rsidRDefault="009C09D6">
      <w:pPr>
        <w:pStyle w:val="a5"/>
        <w:numPr>
          <w:ilvl w:val="0"/>
          <w:numId w:val="5"/>
        </w:numPr>
        <w:spacing w:after="0" w:line="240" w:lineRule="auto"/>
        <w:ind w:left="0" w:firstLine="426"/>
        <w:jc w:val="both"/>
        <w:rPr>
          <w:rFonts w:ascii="Times New Roman" w:hAnsi="Times New Roman" w:cs="Times New Roman"/>
          <w:b/>
          <w:color w:val="000000"/>
          <w:sz w:val="28"/>
          <w:szCs w:val="28"/>
        </w:rPr>
      </w:pPr>
      <w:r>
        <w:rPr>
          <w:rFonts w:ascii="Times New Roman" w:hAnsi="Times New Roman" w:cs="Times New Roman"/>
          <w:b/>
          <w:color w:val="000000"/>
          <w:sz w:val="28"/>
          <w:szCs w:val="28"/>
        </w:rPr>
        <w:t>Порядок организации мониторинга и корректировки, развития систем теплоснабжения</w:t>
      </w:r>
    </w:p>
    <w:p w:rsidR="00C21D72" w:rsidRDefault="00C21D72">
      <w:pPr>
        <w:pStyle w:val="a5"/>
        <w:spacing w:line="240" w:lineRule="auto"/>
        <w:ind w:left="0" w:firstLine="426"/>
        <w:jc w:val="both"/>
        <w:rPr>
          <w:rFonts w:ascii="Times New Roman" w:hAnsi="Times New Roman" w:cs="Times New Roman"/>
          <w:b/>
          <w:color w:val="000000"/>
          <w:sz w:val="28"/>
          <w:szCs w:val="28"/>
        </w:rPr>
      </w:pPr>
    </w:p>
    <w:p w:rsidR="00C21D72" w:rsidRDefault="009C09D6">
      <w:pPr>
        <w:pStyle w:val="a5"/>
        <w:numPr>
          <w:ilvl w:val="1"/>
          <w:numId w:val="5"/>
        </w:numPr>
        <w:spacing w:after="0" w:line="240" w:lineRule="auto"/>
        <w:ind w:left="0" w:firstLine="426"/>
        <w:jc w:val="both"/>
        <w:rPr>
          <w:rFonts w:ascii="Times New Roman" w:hAnsi="Times New Roman" w:cs="Times New Roman"/>
          <w:b/>
          <w:color w:val="000000"/>
          <w:sz w:val="28"/>
          <w:szCs w:val="28"/>
        </w:rPr>
      </w:pPr>
      <w:r>
        <w:rPr>
          <w:rFonts w:ascii="Times New Roman" w:hAnsi="Times New Roman" w:cs="Times New Roman"/>
          <w:b/>
          <w:color w:val="000000"/>
          <w:sz w:val="28"/>
          <w:szCs w:val="28"/>
        </w:rPr>
        <w:t>Общие положения</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2.1.1. Мониторинг систем теплоснабжения осуществляется в целях анализа и оценки выполнения плановых мероприятий, и представляет собой механизм общесистемной координации действий.</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2.1.2. Мониторинг проведения, развития систем теплоснабжения муниципального образования осуществляется в соответствии с Федеральным законом </w:t>
      </w:r>
      <w:r>
        <w:rPr>
          <w:rFonts w:ascii="Times New Roman" w:hAnsi="Times New Roman" w:cs="Times New Roman"/>
          <w:sz w:val="28"/>
          <w:szCs w:val="28"/>
        </w:rPr>
        <w:t xml:space="preserve">от 27 июля 2010 г. N 190-ФЗ </w:t>
      </w:r>
      <w:r>
        <w:rPr>
          <w:rFonts w:ascii="Times New Roman" w:eastAsia="Times New Roman" w:hAnsi="Times New Roman" w:cs="Times New Roman"/>
          <w:color w:val="000000"/>
          <w:sz w:val="28"/>
          <w:szCs w:val="28"/>
          <w:lang w:eastAsia="ru-RU"/>
        </w:rPr>
        <w:t>«О теплоснабжении».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2.1.3. Целью проведения мониторинга является совершенствование, развитие, обеспечение ее соответствия изменившимся условиям внешней среды.</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2.1.4. Основными задачами проведения мониторинга являются:</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анализ соответствия запланированных мероприятий фактически </w:t>
      </w:r>
      <w:proofErr w:type="gramStart"/>
      <w:r>
        <w:rPr>
          <w:rFonts w:ascii="Times New Roman" w:eastAsia="Times New Roman" w:hAnsi="Times New Roman" w:cs="Times New Roman"/>
          <w:color w:val="000000"/>
          <w:sz w:val="28"/>
          <w:szCs w:val="28"/>
          <w:lang w:eastAsia="ru-RU"/>
        </w:rPr>
        <w:t>осуществленным</w:t>
      </w:r>
      <w:proofErr w:type="gramEnd"/>
      <w:r>
        <w:rPr>
          <w:rFonts w:ascii="Times New Roman" w:eastAsia="Times New Roman" w:hAnsi="Times New Roman" w:cs="Times New Roman"/>
          <w:color w:val="000000"/>
          <w:sz w:val="28"/>
          <w:szCs w:val="28"/>
          <w:lang w:eastAsia="ru-RU"/>
        </w:rPr>
        <w:t xml:space="preserve"> (оценка хода реализации);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соответствия фактических результатов, ее целям (анализ результативности);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соотношения затрат, направленных на реализацию с полученным эффектом (анализ эффективности);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влияния изменений внешних условий;</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причин успехов и неудач выполнения;</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эффективности организации выполнения;</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корректировка с учетом происходящих изменений, в том числе уточнение целей и задач.</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2.1.5. Основными этапами проведения мониторинга являются:</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определение целей и задач проведения мониторинга систем теплоснабжения;</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формирование системы индикаторов, отражающих реализацию целей,  развития систем теплоснабжения;</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формирование системы планово-отчетной документации, необходимой для оперативного контроля над реализацией, развития систем теплоснабжения, и периодичности предоставления информации;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полученной информации;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2.1.6. Основными индикаторами, применяемыми для мониторинга развития систем теплоснабжения</w:t>
      </w:r>
      <w:r w:rsidR="00743DB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являются:</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объем выработки тепловой энергии;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уровень загрузки мощностей теплоисточников;</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уровень соответствия тепловых мощностей потребностям потребителей тепловой энергии;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обеспеченность тепловыми мощностями нового строительства;</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удельный расход тепловой энергии на отопление 1 кв.</w:t>
      </w:r>
      <w:r w:rsidR="00A63A5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метра за рассматриваемый период;</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удельный расход тепловой энергии на ГВС в расчете на 1 жителя за рассматриваемый период;</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удельные нормы расхода топлива на выработку тепловой энергии;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удельные расход ресурсов на производство тепловой энергии;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удельный расход ресурсов на транспортировку тепловой энергии;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аварийность систем теплоснабжения (единиц на километр протяженности сетей);</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доля ежегодно заменяемых сетей (в процентах от общей протяженности);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инвестиции на развитие и модернизацию систем теплоснабжения (в том числе инвестиционная составляющая тарифа, бюджетное финансирование, кредитные ресурсы);</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уровень платежей потребителей;</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уровень рентабельности.</w:t>
      </w:r>
    </w:p>
    <w:p w:rsidR="00C21D72" w:rsidRDefault="009C09D6">
      <w:pPr>
        <w:pStyle w:val="a5"/>
        <w:numPr>
          <w:ilvl w:val="1"/>
          <w:numId w:val="5"/>
        </w:num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Принципы проведения мониторинга, систем теплоснабжения</w:t>
      </w:r>
    </w:p>
    <w:p w:rsidR="00C21D72" w:rsidRDefault="00C21D72">
      <w:pPr>
        <w:pStyle w:val="a5"/>
        <w:spacing w:line="240" w:lineRule="auto"/>
        <w:ind w:left="1428"/>
        <w:jc w:val="both"/>
        <w:rPr>
          <w:rFonts w:ascii="Times New Roman" w:hAnsi="Times New Roman" w:cs="Times New Roman"/>
          <w:b/>
          <w:color w:val="000000"/>
          <w:sz w:val="28"/>
          <w:szCs w:val="28"/>
        </w:rPr>
      </w:pP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2.2.1. Мониторинг, систем теплоснабжения является инструментом для своевременного выявления отклонений хода эксплуатации, от намеченного плана и принятия обоснованных управленческих решений как в части корректировки хода эксплуатации, так и в части корректировки самой эксплуатации.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2.2.2. Проведение мониторинга и оценки, развития систем теплоснабжения базируется на следующих принципах:</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определенность – четкое определение показателей, последовательность измерений показателей от одного отчетного периода к другому;</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регулярность – проведение мониторинга достаточно часто и через равные промежутки времени;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достоверность – использование точной и достоверной информации, формализация методов сбора информации.</w:t>
      </w:r>
    </w:p>
    <w:p w:rsidR="00C21D72" w:rsidRDefault="009C09D6">
      <w:pPr>
        <w:pStyle w:val="a5"/>
        <w:numPr>
          <w:ilvl w:val="1"/>
          <w:numId w:val="5"/>
        </w:num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Сбор и систематизация информации</w:t>
      </w:r>
    </w:p>
    <w:p w:rsidR="00C21D72" w:rsidRDefault="00C21D72">
      <w:pPr>
        <w:pStyle w:val="a5"/>
        <w:spacing w:after="0" w:line="240" w:lineRule="auto"/>
        <w:ind w:left="1428"/>
        <w:jc w:val="both"/>
        <w:rPr>
          <w:rFonts w:ascii="Times New Roman" w:hAnsi="Times New Roman" w:cs="Times New Roman"/>
          <w:b/>
          <w:color w:val="000000"/>
          <w:sz w:val="28"/>
          <w:szCs w:val="28"/>
        </w:rPr>
      </w:pP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2.3.1. Разработка системы индикаторов, позволяющих отслеживать ход выполнения, развития систем теплоснабжения.</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2.3.2. Для каждого индикатора необходимо установить:</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определение (что отражает данный индикатор);</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источник информации;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периодичность (с какой частотой собирается);</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точка отсчета (значение показателя «на входе» до момента реализации);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целевое значение (ожидаемое значение «на выходе» по итогам реализации запланированных мероприятий);</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единица измерения.</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2.3.4. Основными источниками получения информации являются:</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субъекты теплоснабжения;</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потребители тепловой энергии;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2.3.5. Формат и периодичность предоставления информации устанавливаются отдельно для каждого источника получения информации.</w:t>
      </w:r>
    </w:p>
    <w:p w:rsidR="00C21D72" w:rsidRDefault="009C09D6">
      <w:pPr>
        <w:numPr>
          <w:ilvl w:val="1"/>
          <w:numId w:val="5"/>
        </w:numPr>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Анализ информации и формирование рекомендаций</w:t>
      </w:r>
    </w:p>
    <w:p w:rsidR="00C21D72" w:rsidRDefault="00C21D72">
      <w:pPr>
        <w:spacing w:line="240" w:lineRule="auto"/>
        <w:ind w:firstLine="426"/>
        <w:jc w:val="both"/>
        <w:rPr>
          <w:rFonts w:ascii="Times New Roman" w:eastAsia="Times New Roman" w:hAnsi="Times New Roman" w:cs="Times New Roman"/>
          <w:b/>
          <w:color w:val="000000"/>
          <w:sz w:val="28"/>
          <w:szCs w:val="28"/>
          <w:lang w:eastAsia="ru-RU"/>
        </w:rPr>
      </w:pP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2.5.1. Основными этапами анализа информации о проведении, развития систем теплоснабжения являются:</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описание фактической ситуации (фактическое значение индикаторов на момент сбора информации, описание условий внешней среды);</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ситуации в динамике (сравнение фактического значения индикаторов на момент сбора информации с точкой отсчета);</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сравнение затрат и эффектов;</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успехов и неудач;</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влияния изменений внешних условий;</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эффективности эксплуатации;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выводы;</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рекомендации.</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2.5.2. Основными методами анализа информации являются:</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количественные</w:t>
      </w:r>
      <w:proofErr w:type="gramEnd"/>
      <w:r>
        <w:rPr>
          <w:rFonts w:ascii="Times New Roman" w:eastAsia="Times New Roman" w:hAnsi="Times New Roman" w:cs="Times New Roman"/>
          <w:color w:val="000000"/>
          <w:sz w:val="28"/>
          <w:szCs w:val="28"/>
          <w:lang w:eastAsia="ru-RU"/>
        </w:rPr>
        <w:t xml:space="preserve"> – обработка количественных данных с помощью формализованных математических операций (расчет средних и относительных величин, корреляционный анализ, регрессионный анализ и т.д.);</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качественные – интерпретация собранных ранее данных, которые невозможно оценить количественно и проанализировать с помощью формализованных математических методов (метод экспертных оценок).</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2.5.3. Анализ информации об эксплуатации, развития систем теплоснабжения осуществляется с эксплуатирующей организацией.</w:t>
      </w:r>
    </w:p>
    <w:p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2.5.4. На основании данных анализа готовится отчет об эксплуатации, развитии систем теплоснабжения с использованием таблично-графического материала и формируются рекомендации по принятию управленческих решений, направленных на корректировку эксплуатации</w:t>
      </w:r>
      <w:r w:rsidR="00A63A55">
        <w:rPr>
          <w:rFonts w:ascii="Times New Roman" w:eastAsia="Times New Roman" w:hAnsi="Times New Roman" w:cs="Times New Roman"/>
          <w:color w:val="000000"/>
          <w:sz w:val="28"/>
          <w:szCs w:val="28"/>
          <w:lang w:eastAsia="ru-RU"/>
        </w:rPr>
        <w:t xml:space="preserve">, (перераспределение ресурсов, </w:t>
      </w:r>
      <w:r>
        <w:rPr>
          <w:rFonts w:ascii="Times New Roman" w:eastAsia="Times New Roman" w:hAnsi="Times New Roman" w:cs="Times New Roman"/>
          <w:color w:val="000000"/>
          <w:sz w:val="28"/>
          <w:szCs w:val="28"/>
          <w:lang w:eastAsia="ru-RU"/>
        </w:rPr>
        <w:t>и т.д.).</w:t>
      </w:r>
    </w:p>
    <w:p w:rsidR="00C21D72" w:rsidRDefault="009C09D6">
      <w:pPr>
        <w:spacing w:line="240" w:lineRule="auto"/>
        <w:jc w:val="center"/>
        <w:rPr>
          <w:rFonts w:ascii="Times New Roman" w:hAnsi="Times New Roman" w:cs="Times New Roman"/>
          <w:sz w:val="28"/>
          <w:szCs w:val="28"/>
        </w:rPr>
      </w:pPr>
      <w:r>
        <w:rPr>
          <w:rFonts w:ascii="Times New Roman" w:hAnsi="Times New Roman" w:cs="Times New Roman"/>
          <w:sz w:val="28"/>
          <w:szCs w:val="28"/>
        </w:rPr>
        <w:t>___________</w:t>
      </w:r>
    </w:p>
    <w:sectPr w:rsidR="00C21D72">
      <w:pgSz w:w="11906" w:h="16838"/>
      <w:pgMar w:top="851" w:right="850" w:bottom="85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9D6" w:rsidRDefault="009C09D6">
      <w:pPr>
        <w:spacing w:after="0" w:line="240" w:lineRule="auto"/>
      </w:pPr>
      <w:r>
        <w:separator/>
      </w:r>
    </w:p>
  </w:endnote>
  <w:endnote w:type="continuationSeparator" w:id="0">
    <w:p w:rsidR="009C09D6" w:rsidRDefault="009C0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9D6" w:rsidRDefault="009C09D6">
      <w:pPr>
        <w:spacing w:after="0" w:line="240" w:lineRule="auto"/>
      </w:pPr>
      <w:r>
        <w:separator/>
      </w:r>
    </w:p>
  </w:footnote>
  <w:footnote w:type="continuationSeparator" w:id="0">
    <w:p w:rsidR="009C09D6" w:rsidRDefault="009C09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5DC1"/>
    <w:multiLevelType w:val="multilevel"/>
    <w:tmpl w:val="5E2AF71E"/>
    <w:lvl w:ilvl="0">
      <w:start w:val="1"/>
      <w:numFmt w:val="decimal"/>
      <w:lvlText w:val="%1."/>
      <w:lvlJc w:val="left"/>
      <w:pPr>
        <w:ind w:left="1068" w:hanging="360"/>
      </w:pPr>
      <w:rPr>
        <w:rFonts w:hint="default"/>
      </w:rPr>
    </w:lvl>
    <w:lvl w:ilvl="1">
      <w:start w:val="1"/>
      <w:numFmt w:val="decimal"/>
      <w:isLgl/>
      <w:suff w:val="space"/>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nsid w:val="137B19EF"/>
    <w:multiLevelType w:val="hybridMultilevel"/>
    <w:tmpl w:val="B18CDB1E"/>
    <w:lvl w:ilvl="0" w:tplc="D3061248">
      <w:start w:val="1"/>
      <w:numFmt w:val="decimal"/>
      <w:lvlText w:val="%1."/>
      <w:lvlJc w:val="left"/>
      <w:pPr>
        <w:ind w:left="570" w:hanging="57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217949D2"/>
    <w:multiLevelType w:val="hybridMultilevel"/>
    <w:tmpl w:val="E9643A50"/>
    <w:lvl w:ilvl="0" w:tplc="BA1E99A6">
      <w:start w:val="1"/>
      <w:numFmt w:val="decimal"/>
      <w:lvlText w:val="%1."/>
      <w:lvlJc w:val="left"/>
      <w:pPr>
        <w:ind w:left="1632" w:hanging="99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3">
    <w:nsid w:val="38357D7F"/>
    <w:multiLevelType w:val="multilevel"/>
    <w:tmpl w:val="0AA26D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40EE2191"/>
    <w:multiLevelType w:val="hybridMultilevel"/>
    <w:tmpl w:val="B18CDB1E"/>
    <w:lvl w:ilvl="0" w:tplc="D3061248">
      <w:start w:val="1"/>
      <w:numFmt w:val="decimal"/>
      <w:lvlText w:val="%1."/>
      <w:lvlJc w:val="left"/>
      <w:pPr>
        <w:ind w:left="570" w:hanging="57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21D72"/>
    <w:rsid w:val="005E0840"/>
    <w:rsid w:val="00642F3B"/>
    <w:rsid w:val="006645DE"/>
    <w:rsid w:val="00743DB0"/>
    <w:rsid w:val="00882569"/>
    <w:rsid w:val="009C09D6"/>
    <w:rsid w:val="00A63A55"/>
    <w:rsid w:val="00C21D72"/>
    <w:rsid w:val="00DD2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customStyle="1" w:styleId="Iioaioo">
    <w:name w:val="Ii oaio?o"/>
    <w:basedOn w:val="a"/>
    <w:pPr>
      <w:keepNext/>
      <w:keepLines/>
      <w:spacing w:before="240" w:after="240" w:line="240" w:lineRule="auto"/>
      <w:jc w:val="center"/>
    </w:pPr>
    <w:rPr>
      <w:rFonts w:ascii="Times New Roman" w:eastAsia="Times New Roman" w:hAnsi="Times New Roman" w:cs="Times New Roman"/>
      <w:b/>
      <w:sz w:val="28"/>
      <w:szCs w:val="20"/>
      <w:lang w:eastAsia="zh-CN"/>
    </w:rPr>
  </w:style>
  <w:style w:type="paragraph" w:styleId="a5">
    <w:name w:val="List Paragraph"/>
    <w:basedOn w:val="a"/>
    <w:uiPriority w:val="34"/>
    <w:qFormat/>
    <w:pPr>
      <w:ind w:left="720"/>
      <w:contextualSpacing/>
    </w:pPr>
  </w:style>
  <w:style w:type="paragraph" w:customStyle="1" w:styleId="ConsPlusNormal">
    <w:name w:val="ConsPlusNormal"/>
    <w:uiPriority w:val="99"/>
    <w:pPr>
      <w:widowControl w:val="0"/>
      <w:autoSpaceDE w:val="0"/>
      <w:autoSpaceDN w:val="0"/>
      <w:spacing w:after="0" w:line="240" w:lineRule="auto"/>
    </w:pPr>
    <w:rPr>
      <w:rFonts w:ascii="Calibri" w:eastAsia="Times New Roman" w:hAnsi="Calibri" w:cs="Calibri"/>
      <w:lang w:eastAsia="ru-RU"/>
    </w:rPr>
  </w:style>
  <w:style w:type="paragraph" w:styleId="a6">
    <w:name w:val="Body Text"/>
    <w:basedOn w:val="a"/>
    <w:link w:val="a7"/>
    <w:uiPriority w:val="99"/>
    <w:pPr>
      <w:tabs>
        <w:tab w:val="left" w:pos="3330"/>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uiPriority w:val="99"/>
    <w:rPr>
      <w:rFonts w:ascii="Times New Roman" w:eastAsia="Times New Roman" w:hAnsi="Times New Roman" w:cs="Times New Roman"/>
      <w:sz w:val="24"/>
      <w:szCs w:val="24"/>
      <w:lang w:eastAsia="ru-RU"/>
    </w:rPr>
  </w:style>
  <w:style w:type="paragraph" w:styleId="a8">
    <w:name w:val="header"/>
    <w:basedOn w:val="a"/>
    <w:link w:val="a9"/>
    <w:uiPriority w:val="99"/>
    <w:unhideWhenUsed/>
    <w:pPr>
      <w:tabs>
        <w:tab w:val="center" w:pos="4677"/>
        <w:tab w:val="right" w:pos="9355"/>
      </w:tabs>
      <w:spacing w:after="0" w:line="240" w:lineRule="auto"/>
    </w:pPr>
  </w:style>
  <w:style w:type="character" w:customStyle="1" w:styleId="a9">
    <w:name w:val="Верхний колонтитул Знак"/>
    <w:basedOn w:val="a0"/>
    <w:link w:val="a8"/>
    <w:uiPriority w:val="99"/>
  </w:style>
  <w:style w:type="paragraph" w:styleId="aa">
    <w:name w:val="footer"/>
    <w:basedOn w:val="a"/>
    <w:link w:val="ab"/>
    <w:uiPriority w:val="99"/>
    <w:unhideWhenUsed/>
    <w:pPr>
      <w:tabs>
        <w:tab w:val="center" w:pos="4677"/>
        <w:tab w:val="right" w:pos="9355"/>
      </w:tabs>
      <w:spacing w:after="0" w:line="240" w:lineRule="auto"/>
    </w:pPr>
  </w:style>
  <w:style w:type="character" w:customStyle="1" w:styleId="ab">
    <w:name w:val="Нижний колонтитул Знак"/>
    <w:basedOn w:val="a0"/>
    <w:link w:val="aa"/>
    <w:uiPriority w:val="99"/>
  </w:style>
  <w:style w:type="table" w:styleId="ac">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pPr>
      <w:widowControl w:val="0"/>
      <w:autoSpaceDE w:val="0"/>
      <w:autoSpaceDN w:val="0"/>
      <w:spacing w:after="0" w:line="240" w:lineRule="auto"/>
    </w:pPr>
    <w:rPr>
      <w:rFonts w:ascii="Calibri" w:eastAsia="Times New Roman" w:hAnsi="Calibri" w:cs="Calibri"/>
      <w:b/>
      <w:bCs/>
      <w:lang w:eastAsia="ru-RU"/>
    </w:rPr>
  </w:style>
  <w:style w:type="paragraph" w:customStyle="1" w:styleId="msobodytextindentbullet2gif">
    <w:name w:val="msobodytextindentbullet2.gif"/>
    <w:basedOn w:val="a"/>
    <w:qFormat/>
    <w:pPr>
      <w:widowControl w:val="0"/>
      <w:suppressAutoHyphens/>
      <w:spacing w:before="280" w:after="280" w:line="240" w:lineRule="auto"/>
    </w:pPr>
    <w:rPr>
      <w:rFonts w:ascii="Times New Roman" w:eastAsia="Times New Roman" w:hAnsi="Times New Roman" w:cs="Times New Roman"/>
      <w:kern w:val="2"/>
      <w:sz w:val="24"/>
      <w:szCs w:val="24"/>
      <w:lang w:eastAsia="zh-CN" w:bidi="hi-IN"/>
    </w:rPr>
  </w:style>
  <w:style w:type="character" w:styleId="ad">
    <w:name w:val="Hyperlink"/>
    <w:basedOn w:val="a0"/>
    <w:uiPriority w:val="99"/>
    <w:semiHidden/>
    <w:unhideWhenUs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21731">
      <w:bodyDiv w:val="1"/>
      <w:marLeft w:val="0"/>
      <w:marRight w:val="0"/>
      <w:marTop w:val="0"/>
      <w:marBottom w:val="0"/>
      <w:divBdr>
        <w:top w:val="none" w:sz="0" w:space="0" w:color="auto"/>
        <w:left w:val="none" w:sz="0" w:space="0" w:color="auto"/>
        <w:bottom w:val="none" w:sz="0" w:space="0" w:color="auto"/>
        <w:right w:val="none" w:sz="0" w:space="0" w:color="auto"/>
      </w:divBdr>
    </w:div>
    <w:div w:id="115103639">
      <w:bodyDiv w:val="1"/>
      <w:marLeft w:val="0"/>
      <w:marRight w:val="0"/>
      <w:marTop w:val="0"/>
      <w:marBottom w:val="0"/>
      <w:divBdr>
        <w:top w:val="none" w:sz="0" w:space="0" w:color="auto"/>
        <w:left w:val="none" w:sz="0" w:space="0" w:color="auto"/>
        <w:bottom w:val="none" w:sz="0" w:space="0" w:color="auto"/>
        <w:right w:val="none" w:sz="0" w:space="0" w:color="auto"/>
      </w:divBdr>
    </w:div>
    <w:div w:id="379134076">
      <w:bodyDiv w:val="1"/>
      <w:marLeft w:val="0"/>
      <w:marRight w:val="0"/>
      <w:marTop w:val="0"/>
      <w:marBottom w:val="0"/>
      <w:divBdr>
        <w:top w:val="none" w:sz="0" w:space="0" w:color="auto"/>
        <w:left w:val="none" w:sz="0" w:space="0" w:color="auto"/>
        <w:bottom w:val="none" w:sz="0" w:space="0" w:color="auto"/>
        <w:right w:val="none" w:sz="0" w:space="0" w:color="auto"/>
      </w:divBdr>
    </w:div>
    <w:div w:id="595023491">
      <w:bodyDiv w:val="1"/>
      <w:marLeft w:val="0"/>
      <w:marRight w:val="0"/>
      <w:marTop w:val="0"/>
      <w:marBottom w:val="0"/>
      <w:divBdr>
        <w:top w:val="none" w:sz="0" w:space="0" w:color="auto"/>
        <w:left w:val="none" w:sz="0" w:space="0" w:color="auto"/>
        <w:bottom w:val="none" w:sz="0" w:space="0" w:color="auto"/>
        <w:right w:val="none" w:sz="0" w:space="0" w:color="auto"/>
      </w:divBdr>
    </w:div>
    <w:div w:id="674529087">
      <w:bodyDiv w:val="1"/>
      <w:marLeft w:val="0"/>
      <w:marRight w:val="0"/>
      <w:marTop w:val="0"/>
      <w:marBottom w:val="0"/>
      <w:divBdr>
        <w:top w:val="none" w:sz="0" w:space="0" w:color="auto"/>
        <w:left w:val="none" w:sz="0" w:space="0" w:color="auto"/>
        <w:bottom w:val="none" w:sz="0" w:space="0" w:color="auto"/>
        <w:right w:val="none" w:sz="0" w:space="0" w:color="auto"/>
      </w:divBdr>
    </w:div>
    <w:div w:id="834761237">
      <w:bodyDiv w:val="1"/>
      <w:marLeft w:val="0"/>
      <w:marRight w:val="0"/>
      <w:marTop w:val="0"/>
      <w:marBottom w:val="0"/>
      <w:divBdr>
        <w:top w:val="none" w:sz="0" w:space="0" w:color="auto"/>
        <w:left w:val="none" w:sz="0" w:space="0" w:color="auto"/>
        <w:bottom w:val="none" w:sz="0" w:space="0" w:color="auto"/>
        <w:right w:val="none" w:sz="0" w:space="0" w:color="auto"/>
      </w:divBdr>
    </w:div>
    <w:div w:id="1121730886">
      <w:bodyDiv w:val="1"/>
      <w:marLeft w:val="0"/>
      <w:marRight w:val="0"/>
      <w:marTop w:val="0"/>
      <w:marBottom w:val="0"/>
      <w:divBdr>
        <w:top w:val="none" w:sz="0" w:space="0" w:color="auto"/>
        <w:left w:val="none" w:sz="0" w:space="0" w:color="auto"/>
        <w:bottom w:val="none" w:sz="0" w:space="0" w:color="auto"/>
        <w:right w:val="none" w:sz="0" w:space="0" w:color="auto"/>
      </w:divBdr>
    </w:div>
    <w:div w:id="1129206501">
      <w:bodyDiv w:val="1"/>
      <w:marLeft w:val="0"/>
      <w:marRight w:val="0"/>
      <w:marTop w:val="0"/>
      <w:marBottom w:val="0"/>
      <w:divBdr>
        <w:top w:val="none" w:sz="0" w:space="0" w:color="auto"/>
        <w:left w:val="none" w:sz="0" w:space="0" w:color="auto"/>
        <w:bottom w:val="none" w:sz="0" w:space="0" w:color="auto"/>
        <w:right w:val="none" w:sz="0" w:space="0" w:color="auto"/>
      </w:divBdr>
    </w:div>
    <w:div w:id="1507477718">
      <w:bodyDiv w:val="1"/>
      <w:marLeft w:val="0"/>
      <w:marRight w:val="0"/>
      <w:marTop w:val="0"/>
      <w:marBottom w:val="0"/>
      <w:divBdr>
        <w:top w:val="none" w:sz="0" w:space="0" w:color="auto"/>
        <w:left w:val="none" w:sz="0" w:space="0" w:color="auto"/>
        <w:bottom w:val="none" w:sz="0" w:space="0" w:color="auto"/>
        <w:right w:val="none" w:sz="0" w:space="0" w:color="auto"/>
      </w:divBdr>
    </w:div>
    <w:div w:id="166770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2227764" TargetMode="External"/><Relationship Id="rId5" Type="http://schemas.openxmlformats.org/officeDocument/2006/relationships/settings" Target="settings.xml"/><Relationship Id="rId10" Type="http://schemas.openxmlformats.org/officeDocument/2006/relationships/hyperlink" Target="http://docs.cntd.ru/document/901876063"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41DC2-BD97-4C06-B6A3-CBF0F4E29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6</Pages>
  <Words>1263</Words>
  <Characters>7203</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u0203</dc:creator>
  <cp:lastModifiedBy>User</cp:lastModifiedBy>
  <cp:revision>50</cp:revision>
  <cp:lastPrinted>2022-07-06T05:41:00Z</cp:lastPrinted>
  <dcterms:created xsi:type="dcterms:W3CDTF">2021-03-24T12:24:00Z</dcterms:created>
  <dcterms:modified xsi:type="dcterms:W3CDTF">2023-08-07T07:50:00Z</dcterms:modified>
</cp:coreProperties>
</file>