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>
        <w:trPr>
          <w:trHeight w:val="33"/>
        </w:trPr>
        <w:tc>
          <w:tcPr>
            <w:tcW w:w="9747" w:type="dxa"/>
            <w:shd w:val="clear" w:color="auto" w:fill="auto"/>
          </w:tcPr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28.06.2022                                                                №  383                    </w:t>
            </w:r>
          </w:p>
        </w:tc>
      </w:tr>
      <w:tr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Лебяжье</w:t>
            </w:r>
          </w:p>
          <w:p>
            <w:pPr>
              <w:spacing w:after="0"/>
              <w:ind w:left="607" w:right="49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стандарта уровня платежей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холодное водоснабжение  с 01 июля 2022  по 31 декабря 2022 года</w:t>
            </w:r>
          </w:p>
        </w:tc>
      </w:tr>
    </w:tbl>
    <w:p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Указа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года», в соответствии с Постановлением Правительства Кировской области от 28.09.2007 № 107/401 «Об утверждении Порядка пересмотра размера подлежащей внесению платы граждан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коммунальные услуги при приведении в соответствие с утвержденными в установленном порядке предельными индексами», на основании решения РСТ Кировской области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 27/5-кс-2020 от 08.09.2020</w:t>
      </w:r>
      <w:r>
        <w:rPr>
          <w:rFonts w:ascii="Times New Roman" w:hAnsi="Times New Roman" w:cs="Times New Roman"/>
          <w:sz w:val="28"/>
          <w:szCs w:val="28"/>
        </w:rPr>
        <w:t xml:space="preserve"> «О тарифах на питьевую воду (питьевое водоснабжение) для муниципального унитарного предприятия «Коммунсервис» муниципального образования Лебяжский муниципальный округ Кировской области» администрация муниципального округа ПОСТАНОВЛЯЕТ:</w:t>
      </w:r>
      <w:proofErr w:type="gramEnd"/>
    </w:p>
    <w:p>
      <w:pPr>
        <w:pStyle w:val="a5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 стандарт уровня платежей </w:t>
      </w:r>
      <w:r>
        <w:rPr>
          <w:rFonts w:ascii="Times New Roman" w:hAnsi="Times New Roman" w:cs="Times New Roman"/>
          <w:sz w:val="28"/>
          <w:szCs w:val="28"/>
        </w:rPr>
        <w:t>за холодное водоснабжение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 01 июля 2022  по 31 декабря  2022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Лебяжского муниципального округа Бердникову </w:t>
      </w:r>
      <w:r>
        <w:rPr>
          <w:rFonts w:ascii="Times New Roman" w:hAnsi="Times New Roman" w:cs="Times New Roman"/>
          <w:sz w:val="28"/>
          <w:szCs w:val="28"/>
        </w:rPr>
        <w:br/>
        <w:t>А.Е.</w:t>
      </w:r>
    </w:p>
    <w:p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вступает в силу с момента официального опубликования.</w:t>
      </w:r>
    </w:p>
    <w:p>
      <w:pPr>
        <w:spacing w:after="0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     Т.А. Обухова</w:t>
      </w:r>
    </w:p>
    <w:p>
      <w:pPr>
        <w:ind w:left="-284" w:firstLine="28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        </w:t>
      </w:r>
    </w:p>
    <w:p>
      <w:pPr>
        <w:ind w:left="-284" w:firstLine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Приложение </w:t>
      </w:r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</w:rPr>
        <w:t>от 28.06.2022  №  383</w:t>
      </w:r>
    </w:p>
    <w:p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>
      <w:pPr>
        <w:spacing w:after="0" w:line="240" w:lineRule="auto"/>
        <w:ind w:left="4962" w:right="283"/>
        <w:rPr>
          <w:rFonts w:ascii="Liberation Serif" w:eastAsia="SimSun" w:hAnsi="Liberation Serif" w:cs="Mangal" w:hint="eastAsia"/>
          <w:sz w:val="24"/>
          <w:u w:val="single"/>
        </w:rPr>
      </w:pP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1.Установить стандарт уровня платежей граждан за холодное водоснабжение в границах населенных пунктов: д. Большие Гари, д. Васичи, д.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Пузинерь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Гаврюшата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Зайчики,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Изиморка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Индыгойка,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Кузнецово, с. Лаж, д. Лазари, д. Мошкино, д. Нижняя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Пузинерь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Палкино,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Пирогово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Сауничи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Шайтаны,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2127"/>
        <w:gridCol w:w="2252"/>
      </w:tblGrid>
      <w:tr>
        <w:tc>
          <w:tcPr>
            <w:tcW w:w="3686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>
        <w:tc>
          <w:tcPr>
            <w:tcW w:w="3686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73,14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,8939</w:t>
            </w:r>
          </w:p>
        </w:tc>
        <w:tc>
          <w:tcPr>
            <w:tcW w:w="225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24,79</w:t>
            </w:r>
          </w:p>
        </w:tc>
      </w:tr>
    </w:tbl>
    <w:p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2.Установить стандарт уровня платежей граждан за холодное водоснабжение  в границах населенных пунктов: д. Большие Шоры, д. Большой Сердеж,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Вотское, д. Гари, Хутор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Елизарово,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Золотавино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Кокорево, с. Красное,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Круглёнки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Лотовщина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Малый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Дудорово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Малый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Мари,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Мальковщина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Марамзино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 Мелянда, д. Михеевщина,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Молчонки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Мысы, д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Окольники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Приверх,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Редькино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авино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Ситьмяна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Соль-Грязь,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Трифонята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Фомины, д. Чистовражье,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Чупраки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Фадеево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Spec="right" w:tblpY="2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052"/>
        <w:gridCol w:w="1984"/>
        <w:gridCol w:w="2309"/>
      </w:tblGrid>
      <w:t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услуги, Наименование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комплекса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Утвержденный тариф 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Стандарт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платежа 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 для населения (руб.)</w:t>
            </w:r>
          </w:p>
        </w:tc>
      </w:tr>
      <w:t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Холодное водоснабжение, МУП «Коммунсервис»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49,6308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36,30</w:t>
            </w:r>
          </w:p>
        </w:tc>
      </w:tr>
    </w:tbl>
    <w:p>
      <w:pPr>
        <w:autoSpaceDE w:val="0"/>
        <w:autoSpaceDN w:val="0"/>
        <w:adjustRightInd w:val="0"/>
        <w:ind w:left="184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3. Установить стандарт уровня платежей граждан </w:t>
      </w:r>
      <w:r>
        <w:rPr>
          <w:rFonts w:ascii="Times New Roman" w:hAnsi="Times New Roman" w:cs="Times New Roman"/>
          <w:sz w:val="28"/>
          <w:szCs w:val="28"/>
        </w:rPr>
        <w:t>за холодное водоснабжение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границах населенных пунктов: с.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Ветошкино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Мари-Байса, д. Русская Байса, д.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Смышляево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Вичур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10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1"/>
        <w:gridCol w:w="2155"/>
        <w:gridCol w:w="1956"/>
        <w:gridCol w:w="2171"/>
      </w:tblGrid>
      <w:t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Утвержденный тариф 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(руб.)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 для населения (руб.)</w:t>
            </w:r>
          </w:p>
        </w:tc>
      </w:tr>
      <w:t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Холодное водоснабжение, МУП «Коммунсервис»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38,5152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28,17</w:t>
            </w:r>
          </w:p>
        </w:tc>
      </w:tr>
    </w:tbl>
    <w:p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1EFE8-C3A5-4249-87CA-05D74AE5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L07</cp:lastModifiedBy>
  <cp:revision>38</cp:revision>
  <cp:lastPrinted>2022-06-28T10:51:00Z</cp:lastPrinted>
  <dcterms:created xsi:type="dcterms:W3CDTF">2021-03-24T12:24:00Z</dcterms:created>
  <dcterms:modified xsi:type="dcterms:W3CDTF">2022-06-28T10:51:00Z</dcterms:modified>
</cp:coreProperties>
</file>