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sz w:val="28"/>
          <w:szCs w:val="28"/>
        </w:rPr>
      </w:r>
    </w:p>
    <w:p>
      <w:pPr>
        <w:pStyle w:val="Normal"/>
        <w:jc w:val="center"/>
        <w:rPr>
          <w:sz w:val="28"/>
          <w:szCs w:val="28"/>
        </w:rPr>
      </w:pPr>
      <w:r>
        <w:rPr/>
        <mc:AlternateContent>
          <mc:Choice Requires="wps">
            <w:drawing>
              <wp:inline distT="0" distB="0" distL="0" distR="0">
                <wp:extent cx="524510" cy="619760"/>
                <wp:effectExtent l="0" t="0" r="0" b="0"/>
                <wp:docPr id="1" name="Рисунок 1"/>
                <a:graphic xmlns:a="http://schemas.openxmlformats.org/drawingml/2006/main">
                  <a:graphicData uri="http://schemas.openxmlformats.org/drawingml/2006/picture">
                    <pic:pic xmlns:pic="http://schemas.openxmlformats.org/drawingml/2006/picture">
                      <pic:nvPicPr>
                        <pic:cNvPr id="0" name="Рисунок 1" descr=""/>
                        <pic:cNvPicPr/>
                      </pic:nvPicPr>
                      <pic:blipFill>
                        <a:blip r:embed="rId2"/>
                        <a:stretch/>
                      </pic:blipFill>
                      <pic:spPr>
                        <a:xfrm>
                          <a:off x="0" y="0"/>
                          <a:ext cx="523800" cy="619200"/>
                        </a:xfrm>
                        <a:prstGeom prst="rect">
                          <a:avLst/>
                        </a:prstGeom>
                        <a:ln>
                          <a:noFill/>
                        </a:ln>
                      </pic:spPr>
                    </pic:pic>
                  </a:graphicData>
                </a:graphic>
              </wp:inline>
            </w:drawing>
          </mc:Choice>
          <mc:Fallback>
            <w:pict>
              <v:rect id="shape_0" ID="Рисунок 1" stroked="f" style="position:absolute;margin-left:0pt;margin-top:-48.8pt;width:41.2pt;height:48.7pt;mso-position-vertical:top">
                <v:imagedata r:id="rId3" o:detectmouseclick="t"/>
                <w10:wrap type="none"/>
                <v:stroke color="#3465a4" joinstyle="round" endcap="flat"/>
              </v:rect>
            </w:pict>
          </mc:Fallback>
        </mc:AlternateContent>
      </w:r>
    </w:p>
    <w:p>
      <w:pPr>
        <w:pStyle w:val="Normal"/>
        <w:jc w:val="center"/>
        <w:rPr>
          <w:sz w:val="28"/>
          <w:szCs w:val="28"/>
        </w:rPr>
      </w:pPr>
      <w:r>
        <w:rPr>
          <w:sz w:val="28"/>
          <w:szCs w:val="28"/>
        </w:rPr>
      </w:r>
    </w:p>
    <w:p>
      <w:pPr>
        <w:pStyle w:val="1"/>
        <w:numPr>
          <w:ilvl w:val="0"/>
          <w:numId w:val="1"/>
        </w:numPr>
        <w:tabs>
          <w:tab w:val="left" w:pos="0" w:leader="none"/>
          <w:tab w:val="left" w:pos="720" w:leader="none"/>
        </w:tabs>
        <w:ind w:left="0" w:hanging="0"/>
        <w:rPr/>
      </w:pPr>
      <w:r>
        <w:rPr/>
        <w:t>АДМИНИСТРАЦИЯ ЛЕБЯЖСКОГО РАЙОНА</w:t>
      </w:r>
    </w:p>
    <w:p>
      <w:pPr>
        <w:pStyle w:val="1"/>
        <w:numPr>
          <w:ilvl w:val="0"/>
          <w:numId w:val="1"/>
        </w:numPr>
        <w:tabs>
          <w:tab w:val="left" w:pos="0" w:leader="none"/>
          <w:tab w:val="left" w:pos="720" w:leader="none"/>
        </w:tabs>
        <w:ind w:left="0" w:hanging="0"/>
        <w:rPr/>
      </w:pPr>
      <w:r>
        <w:rPr/>
        <w:t>КИРОВСКОЙ ОБЛАСТИ</w:t>
      </w:r>
    </w:p>
    <w:p>
      <w:pPr>
        <w:pStyle w:val="Normal"/>
        <w:jc w:val="center"/>
        <w:rPr>
          <w:b/>
          <w:b/>
          <w:bCs/>
          <w:spacing w:val="28"/>
          <w:sz w:val="28"/>
          <w:szCs w:val="28"/>
        </w:rPr>
      </w:pPr>
      <w:r>
        <w:rPr>
          <w:b/>
          <w:bCs/>
          <w:spacing w:val="28"/>
          <w:sz w:val="28"/>
          <w:szCs w:val="28"/>
        </w:rPr>
      </w:r>
    </w:p>
    <w:p>
      <w:pPr>
        <w:pStyle w:val="2"/>
        <w:numPr>
          <w:ilvl w:val="1"/>
          <w:numId w:val="1"/>
        </w:numPr>
        <w:tabs>
          <w:tab w:val="left" w:pos="0" w:leader="none"/>
          <w:tab w:val="left" w:pos="1440" w:leader="none"/>
        </w:tabs>
        <w:ind w:left="0" w:hanging="0"/>
        <w:rPr>
          <w:sz w:val="28"/>
          <w:szCs w:val="28"/>
        </w:rPr>
      </w:pPr>
      <w:r>
        <w:rPr/>
        <w:t>ПОСТАНОВЛЕНИЕ</w:t>
      </w:r>
    </w:p>
    <w:p>
      <w:pPr>
        <w:pStyle w:val="Normal"/>
        <w:jc w:val="center"/>
        <w:rPr>
          <w:sz w:val="28"/>
          <w:szCs w:val="28"/>
        </w:rPr>
      </w:pPr>
      <w:r>
        <w:rPr>
          <w:sz w:val="28"/>
          <w:szCs w:val="28"/>
        </w:rPr>
      </w:r>
    </w:p>
    <w:tbl>
      <w:tblPr>
        <w:tblW w:w="9214" w:type="dxa"/>
        <w:jc w:val="left"/>
        <w:tblInd w:w="-106" w:type="dxa"/>
        <w:tblBorders/>
        <w:tblCellMar>
          <w:top w:w="0" w:type="dxa"/>
          <w:left w:w="108" w:type="dxa"/>
          <w:bottom w:w="0" w:type="dxa"/>
          <w:right w:w="108" w:type="dxa"/>
        </w:tblCellMar>
        <w:tblLook w:val="00a0"/>
      </w:tblPr>
      <w:tblGrid>
        <w:gridCol w:w="9214"/>
      </w:tblGrid>
      <w:tr>
        <w:trPr>
          <w:trHeight w:val="465" w:hRule="atLeast"/>
        </w:trPr>
        <w:tc>
          <w:tcPr>
            <w:tcW w:w="9214" w:type="dxa"/>
            <w:tcBorders/>
            <w:shd w:fill="auto" w:val="clear"/>
          </w:tcPr>
          <w:p>
            <w:pPr>
              <w:pStyle w:val="Style16"/>
              <w:tabs>
                <w:tab w:val="left" w:pos="708" w:leader="none"/>
                <w:tab w:val="center" w:pos="4677" w:leader="none"/>
                <w:tab w:val="right" w:pos="9355" w:leader="none"/>
              </w:tabs>
              <w:snapToGrid w:val="false"/>
              <w:jc w:val="both"/>
              <w:rPr>
                <w:sz w:val="28"/>
                <w:szCs w:val="28"/>
              </w:rPr>
            </w:pPr>
            <w:r>
              <w:rPr>
                <w:sz w:val="28"/>
                <w:szCs w:val="28"/>
                <w:u w:val="single"/>
              </w:rPr>
              <w:t xml:space="preserve">  </w:t>
            </w:r>
            <w:r>
              <w:rPr>
                <w:sz w:val="28"/>
                <w:szCs w:val="28"/>
                <w:u w:val="single"/>
              </w:rPr>
              <w:t xml:space="preserve">09.08.2016 </w:t>
            </w:r>
            <w:r>
              <w:rPr>
                <w:sz w:val="28"/>
                <w:szCs w:val="28"/>
              </w:rPr>
              <w:t xml:space="preserve">                                                                                         № </w:t>
            </w:r>
            <w:r>
              <w:rPr>
                <w:sz w:val="28"/>
                <w:szCs w:val="28"/>
                <w:u w:val="single"/>
              </w:rPr>
              <w:t xml:space="preserve"> 308                  </w:t>
            </w:r>
          </w:p>
          <w:p>
            <w:pPr>
              <w:pStyle w:val="Style16"/>
              <w:tabs>
                <w:tab w:val="left" w:pos="1050" w:leader="none"/>
                <w:tab w:val="center" w:pos="4499" w:leader="none"/>
                <w:tab w:val="center" w:pos="4677" w:leader="none"/>
                <w:tab w:val="right" w:pos="9355" w:leader="none"/>
              </w:tabs>
              <w:snapToGrid w:val="false"/>
              <w:rPr/>
            </w:pPr>
            <w:r>
              <w:rPr>
                <w:sz w:val="28"/>
                <w:szCs w:val="28"/>
              </w:rPr>
              <w:tab/>
              <w:tab/>
              <w:t>пгт Лебяжье</w:t>
            </w:r>
          </w:p>
        </w:tc>
      </w:tr>
      <w:tr>
        <w:trPr>
          <w:trHeight w:val="180" w:hRule="atLeast"/>
        </w:trPr>
        <w:tc>
          <w:tcPr>
            <w:tcW w:w="9214" w:type="dxa"/>
            <w:tcBorders/>
            <w:shd w:fill="auto" w:val="clear"/>
          </w:tcPr>
          <w:p>
            <w:pPr>
              <w:pStyle w:val="Style16"/>
              <w:snapToGrid w:val="false"/>
              <w:rPr>
                <w:sz w:val="28"/>
                <w:szCs w:val="28"/>
              </w:rPr>
            </w:pPr>
            <w:r>
              <w:rPr>
                <w:sz w:val="28"/>
                <w:szCs w:val="28"/>
              </w:rPr>
            </w:r>
          </w:p>
        </w:tc>
      </w:tr>
      <w:tr>
        <w:trPr>
          <w:trHeight w:val="569" w:hRule="atLeast"/>
        </w:trPr>
        <w:tc>
          <w:tcPr>
            <w:tcW w:w="9214" w:type="dxa"/>
            <w:tcBorders/>
            <w:shd w:fill="auto" w:val="clear"/>
          </w:tcPr>
          <w:p>
            <w:pPr>
              <w:pStyle w:val="Style16"/>
              <w:snapToGrid w:val="false"/>
              <w:spacing w:lineRule="auto" w:line="360"/>
              <w:jc w:val="center"/>
              <w:rPr>
                <w:b/>
                <w:b/>
                <w:bCs/>
                <w:sz w:val="28"/>
                <w:szCs w:val="28"/>
              </w:rPr>
            </w:pPr>
            <w:r>
              <w:rPr>
                <w:b/>
                <w:bCs/>
                <w:sz w:val="28"/>
                <w:szCs w:val="28"/>
              </w:rPr>
              <w:t>Об установлении условий муниципального контракта, заключаемых администрацией Лебяжского района Кировской области с финансовыми организациями</w:t>
            </w:r>
          </w:p>
          <w:p>
            <w:pPr>
              <w:pStyle w:val="Style16"/>
              <w:snapToGrid w:val="false"/>
              <w:spacing w:lineRule="auto" w:line="360"/>
              <w:jc w:val="center"/>
              <w:rPr>
                <w:b/>
                <w:b/>
                <w:bCs/>
                <w:sz w:val="28"/>
                <w:szCs w:val="28"/>
              </w:rPr>
            </w:pPr>
            <w:r>
              <w:rPr>
                <w:b/>
                <w:bCs/>
                <w:sz w:val="28"/>
                <w:szCs w:val="28"/>
              </w:rPr>
            </w:r>
          </w:p>
        </w:tc>
      </w:tr>
    </w:tbl>
    <w:p>
      <w:pPr>
        <w:pStyle w:val="ConsPlusNormal"/>
        <w:tabs>
          <w:tab w:val="left" w:pos="7371" w:leader="none"/>
        </w:tabs>
        <w:spacing w:lineRule="auto" w:line="360"/>
        <w:ind w:firstLine="851"/>
        <w:jc w:val="both"/>
        <w:rPr>
          <w:rFonts w:ascii="Times New Roman" w:hAnsi="Times New Roman" w:cs="Times New Roman"/>
          <w:sz w:val="28"/>
          <w:szCs w:val="28"/>
        </w:rPr>
      </w:pPr>
      <w:r>
        <w:rPr>
          <w:rFonts w:cs="Times New Roman" w:ascii="Times New Roman" w:hAnsi="Times New Roman"/>
          <w:sz w:val="28"/>
          <w:szCs w:val="28"/>
        </w:rPr>
        <w:t>В соответствии со статьей 72 Бюджетного кодекса Российской Федерации, постановлением администрации Лебяжского района от 30.12.2015 № 790 «Об утверждении Порядка принятия решения о заключении муниципальных контрактов на поставку товаров, выполнение работ, оказание услуг для обеспечения нужд Лебяжского муниципального района, превышающий срок действия утвержденных лимитов бюджетных обязательств» установить условия  муниципальных контрактов на оказание финансовых услуг по предоставлению кредитных ресурсов для финансирования дефицита бюджета и погашения долговых обязательств муниципального образования  Лебяжский муниципальный район, заключаемых администрацией Лебяжского района с финансовыми организациями, согласно приложению.</w:t>
      </w:r>
    </w:p>
    <w:p>
      <w:pPr>
        <w:pStyle w:val="ConsPlusNormal"/>
        <w:tabs>
          <w:tab w:val="left" w:pos="851" w:leader="none"/>
        </w:tabs>
        <w:spacing w:lineRule="auto" w:line="360"/>
        <w:ind w:firstLine="851"/>
        <w:jc w:val="both"/>
        <w:rPr>
          <w:sz w:val="28"/>
          <w:szCs w:val="28"/>
        </w:rPr>
      </w:pPr>
      <w:r>
        <w:rPr>
          <w:sz w:val="28"/>
          <w:szCs w:val="28"/>
        </w:rPr>
      </w:r>
    </w:p>
    <w:p>
      <w:pPr>
        <w:pStyle w:val="ConsPlusNormal"/>
        <w:tabs>
          <w:tab w:val="left" w:pos="391" w:leader="none"/>
        </w:tabs>
        <w:spacing w:lineRule="auto" w:line="360"/>
        <w:ind w:left="31" w:hanging="360"/>
        <w:jc w:val="both"/>
        <w:rPr>
          <w:sz w:val="28"/>
          <w:szCs w:val="28"/>
        </w:rPr>
      </w:pPr>
      <w:r>
        <w:rPr>
          <w:sz w:val="28"/>
          <w:szCs w:val="28"/>
        </w:rPr>
      </w:r>
    </w:p>
    <w:p>
      <w:pPr>
        <w:pStyle w:val="Normal"/>
        <w:snapToGrid w:val="false"/>
        <w:rPr>
          <w:sz w:val="28"/>
          <w:szCs w:val="28"/>
        </w:rPr>
      </w:pPr>
      <w:r>
        <w:rPr>
          <w:sz w:val="28"/>
          <w:szCs w:val="28"/>
        </w:rPr>
        <w:t>Глава администрации</w:t>
      </w:r>
    </w:p>
    <w:p>
      <w:pPr>
        <w:pStyle w:val="Normal"/>
        <w:snapToGrid w:val="false"/>
        <w:rPr>
          <w:sz w:val="28"/>
          <w:szCs w:val="28"/>
        </w:rPr>
      </w:pPr>
      <w:r>
        <w:rPr>
          <w:sz w:val="28"/>
          <w:szCs w:val="28"/>
        </w:rPr>
        <w:t>Лебяжского района    С.Н.Авдеев</w:t>
      </w:r>
    </w:p>
    <w:p>
      <w:pPr>
        <w:sectPr>
          <w:type w:val="nextPage"/>
          <w:pgSz w:w="11906" w:h="16838"/>
          <w:pgMar w:left="1701" w:right="850" w:header="0" w:top="1134" w:footer="0" w:bottom="1134" w:gutter="0"/>
          <w:pgNumType w:fmt="decimal"/>
          <w:formProt w:val="false"/>
          <w:textDirection w:val="lrTb"/>
          <w:docGrid w:type="default" w:linePitch="360" w:charSpace="2047"/>
        </w:sectPr>
        <w:pStyle w:val="Normal"/>
        <w:rPr>
          <w:sz w:val="28"/>
          <w:szCs w:val="28"/>
        </w:rPr>
      </w:pPr>
      <w:r>
        <w:rPr>
          <w:sz w:val="28"/>
          <w:szCs w:val="28"/>
        </w:rPr>
      </w:r>
    </w:p>
    <w:p>
      <w:pPr>
        <w:pStyle w:val="Normal"/>
        <w:jc w:val="center"/>
        <w:rPr>
          <w:sz w:val="28"/>
          <w:szCs w:val="28"/>
        </w:rPr>
      </w:pPr>
      <w:r>
        <w:rPr>
          <w:sz w:val="28"/>
          <w:szCs w:val="28"/>
        </w:rPr>
        <w:t xml:space="preserve">                                                                                                       </w:t>
      </w:r>
      <w:r>
        <w:rPr>
          <w:sz w:val="28"/>
          <w:szCs w:val="28"/>
        </w:rPr>
        <w:t>Приложение</w:t>
      </w:r>
    </w:p>
    <w:p>
      <w:pPr>
        <w:pStyle w:val="Normal"/>
        <w:jc w:val="right"/>
        <w:rPr>
          <w:sz w:val="28"/>
          <w:szCs w:val="28"/>
        </w:rPr>
      </w:pPr>
      <w:r>
        <w:rPr>
          <w:sz w:val="28"/>
          <w:szCs w:val="28"/>
        </w:rPr>
      </w:r>
    </w:p>
    <w:p>
      <w:pPr>
        <w:pStyle w:val="Normal"/>
        <w:jc w:val="right"/>
        <w:rPr>
          <w:sz w:val="28"/>
          <w:szCs w:val="28"/>
        </w:rPr>
      </w:pPr>
      <w:r>
        <w:rPr>
          <w:sz w:val="28"/>
          <w:szCs w:val="28"/>
        </w:rPr>
        <w:t>к  постановлению администрации</w:t>
      </w:r>
    </w:p>
    <w:p>
      <w:pPr>
        <w:pStyle w:val="Normal"/>
        <w:jc w:val="center"/>
        <w:rPr>
          <w:sz w:val="28"/>
          <w:szCs w:val="28"/>
        </w:rPr>
      </w:pPr>
      <w:r>
        <w:rPr>
          <w:sz w:val="28"/>
          <w:szCs w:val="28"/>
        </w:rPr>
        <w:t xml:space="preserve">                                                                                                                 </w:t>
      </w:r>
      <w:r>
        <w:rPr>
          <w:sz w:val="28"/>
          <w:szCs w:val="28"/>
        </w:rPr>
        <w:t>Лебяжского района</w:t>
      </w:r>
    </w:p>
    <w:p>
      <w:pPr>
        <w:pStyle w:val="Normal"/>
        <w:rPr>
          <w:sz w:val="28"/>
          <w:szCs w:val="28"/>
        </w:rPr>
      </w:pPr>
      <w:r>
        <w:rPr>
          <w:sz w:val="28"/>
          <w:szCs w:val="28"/>
        </w:rPr>
        <w:t xml:space="preserve">                                                                                                                                                       </w:t>
      </w:r>
      <w:r>
        <w:rPr>
          <w:sz w:val="28"/>
          <w:szCs w:val="28"/>
        </w:rPr>
        <w:t xml:space="preserve">от 09.08.2016  №  308 </w:t>
      </w:r>
    </w:p>
    <w:p>
      <w:pPr>
        <w:pStyle w:val="Normal"/>
        <w:rPr>
          <w:sz w:val="28"/>
          <w:szCs w:val="28"/>
        </w:rPr>
      </w:pPr>
      <w:r>
        <w:rPr>
          <w:sz w:val="28"/>
          <w:szCs w:val="28"/>
        </w:rPr>
      </w:r>
    </w:p>
    <w:p>
      <w:pPr>
        <w:pStyle w:val="Normal"/>
        <w:jc w:val="center"/>
        <w:rPr>
          <w:sz w:val="28"/>
          <w:szCs w:val="28"/>
        </w:rPr>
      </w:pPr>
      <w:r>
        <w:rPr>
          <w:sz w:val="28"/>
          <w:szCs w:val="28"/>
        </w:rPr>
        <w:t>УСЛОВИЯ</w:t>
      </w:r>
    </w:p>
    <w:p>
      <w:pPr>
        <w:pStyle w:val="Normal"/>
        <w:jc w:val="center"/>
        <w:rPr>
          <w:sz w:val="28"/>
          <w:szCs w:val="28"/>
        </w:rPr>
      </w:pPr>
      <w:r>
        <w:rPr>
          <w:sz w:val="28"/>
          <w:szCs w:val="28"/>
        </w:rPr>
        <w:t>муниципальных контрактов на оказание финансовых услуг по предоставлению кредитных ресурсов для финансирования дефицита  бюджета и погашения долговых обязательств муниципального образования  Лебяжский муниципальный район, заключаемых администрацией Лебяжского района с финансовыми организациями</w:t>
      </w:r>
    </w:p>
    <w:p>
      <w:pPr>
        <w:pStyle w:val="Normal"/>
        <w:jc w:val="right"/>
        <w:rPr>
          <w:sz w:val="28"/>
          <w:szCs w:val="28"/>
        </w:rPr>
      </w:pPr>
      <w:r>
        <w:rPr>
          <w:sz w:val="28"/>
          <w:szCs w:val="28"/>
        </w:rPr>
        <w:t>(тыс.руб.)</w:t>
      </w:r>
    </w:p>
    <w:tbl>
      <w:tblPr>
        <w:tblW w:w="14787" w:type="dxa"/>
        <w:jc w:val="left"/>
        <w:tblInd w:w="-1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0a0"/>
      </w:tblPr>
      <w:tblGrid>
        <w:gridCol w:w="816"/>
        <w:gridCol w:w="3260"/>
        <w:gridCol w:w="3829"/>
        <w:gridCol w:w="2268"/>
        <w:gridCol w:w="1984"/>
        <w:gridCol w:w="1276"/>
        <w:gridCol w:w="1353"/>
      </w:tblGrid>
      <w:tr>
        <w:trPr>
          <w:trHeight w:val="728" w:hRule="atLeast"/>
        </w:trPr>
        <w:tc>
          <w:tcPr>
            <w:tcW w:w="816"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 xml:space="preserve">№ </w:t>
            </w:r>
            <w:r>
              <w:rPr>
                <w:sz w:val="28"/>
                <w:szCs w:val="28"/>
              </w:rPr>
              <w:t>п/п</w:t>
            </w:r>
          </w:p>
        </w:tc>
        <w:tc>
          <w:tcPr>
            <w:tcW w:w="3260"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Описание состава услуг</w:t>
            </w:r>
          </w:p>
        </w:tc>
        <w:tc>
          <w:tcPr>
            <w:tcW w:w="3829"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Планируемый результата оказания услуг</w:t>
            </w:r>
          </w:p>
        </w:tc>
        <w:tc>
          <w:tcPr>
            <w:tcW w:w="2268"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Предельный срок оказания услуг с учетом сроков, необходимых для определения исполнителей</w:t>
            </w:r>
          </w:p>
        </w:tc>
        <w:tc>
          <w:tcPr>
            <w:tcW w:w="4613" w:type="dxa"/>
            <w:gridSpan w:val="3"/>
            <w:tcBorders>
              <w:top w:val="single" w:sz="4" w:space="0" w:color="000001"/>
              <w:left w:val="single" w:sz="4" w:space="0" w:color="000001"/>
              <w:bottom w:val="single" w:sz="4" w:space="0" w:color="00000A"/>
              <w:right w:val="single" w:sz="4" w:space="0" w:color="000001"/>
              <w:insideH w:val="single" w:sz="4" w:space="0" w:color="00000A"/>
              <w:insideV w:val="single" w:sz="4" w:space="0" w:color="000001"/>
            </w:tcBorders>
            <w:shd w:fill="auto" w:val="clear"/>
            <w:tcMar>
              <w:left w:w="108" w:type="dxa"/>
            </w:tcMar>
          </w:tcPr>
          <w:p>
            <w:pPr>
              <w:pStyle w:val="Normal"/>
              <w:jc w:val="center"/>
              <w:rPr>
                <w:sz w:val="28"/>
                <w:szCs w:val="28"/>
              </w:rPr>
            </w:pPr>
            <w:r>
              <w:rPr>
                <w:sz w:val="28"/>
                <w:szCs w:val="28"/>
              </w:rPr>
              <w:t>Предельный объем средств на оплату долгосрочных муниципальных контрактов с разбивкой по годам</w:t>
            </w:r>
          </w:p>
        </w:tc>
      </w:tr>
      <w:tr>
        <w:trPr>
          <w:trHeight w:val="1061" w:hRule="atLeast"/>
        </w:trPr>
        <w:tc>
          <w:tcPr>
            <w:tcW w:w="816"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r>
          </w:p>
        </w:tc>
        <w:tc>
          <w:tcPr>
            <w:tcW w:w="3260"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r>
          </w:p>
        </w:tc>
        <w:tc>
          <w:tcPr>
            <w:tcW w:w="3829"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r>
          </w:p>
        </w:tc>
        <w:tc>
          <w:tcPr>
            <w:tcW w:w="2268"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r>
          </w:p>
        </w:tc>
        <w:tc>
          <w:tcPr>
            <w:tcW w:w="1984" w:type="dxa"/>
            <w:tcBorders>
              <w:top w:val="single" w:sz="4" w:space="0" w:color="00000A"/>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2016 год</w:t>
            </w:r>
          </w:p>
        </w:tc>
        <w:tc>
          <w:tcPr>
            <w:tcW w:w="1276" w:type="dxa"/>
            <w:tcBorders>
              <w:top w:val="single" w:sz="4" w:space="0" w:color="00000A"/>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2017 год</w:t>
            </w:r>
          </w:p>
        </w:tc>
        <w:tc>
          <w:tcPr>
            <w:tcW w:w="1353" w:type="dxa"/>
            <w:tcBorders>
              <w:top w:val="single" w:sz="4" w:space="0" w:color="00000A"/>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Итого</w:t>
            </w:r>
          </w:p>
        </w:tc>
      </w:tr>
      <w:tr>
        <w:trPr/>
        <w:tc>
          <w:tcPr>
            <w:tcW w:w="8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1</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2</w:t>
            </w:r>
          </w:p>
        </w:tc>
        <w:tc>
          <w:tcPr>
            <w:tcW w:w="38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3</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4</w:t>
            </w:r>
          </w:p>
        </w:tc>
        <w:tc>
          <w:tcPr>
            <w:tcW w:w="19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5</w:t>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6</w:t>
            </w:r>
          </w:p>
        </w:tc>
        <w:tc>
          <w:tcPr>
            <w:tcW w:w="1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7</w:t>
            </w:r>
          </w:p>
        </w:tc>
      </w:tr>
      <w:tr>
        <w:trPr/>
        <w:tc>
          <w:tcPr>
            <w:tcW w:w="8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1</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Оказание финансовых услуг на открытие невозобновляемой кредитной линии с лимитом выдачи в размере 4000,0 тыс.руб.</w:t>
            </w:r>
          </w:p>
        </w:tc>
        <w:tc>
          <w:tcPr>
            <w:tcW w:w="38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Получение кредитных ресурсов  в размере 4000,0 тыс.руб. для финансирования дефицита  бюджета и погашения долговых обязательств муниципального образования Лебяжский муниципальный район</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До  01.06.2017г</w:t>
            </w:r>
          </w:p>
        </w:tc>
        <w:tc>
          <w:tcPr>
            <w:tcW w:w="19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357,700</w:t>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255,500</w:t>
            </w:r>
          </w:p>
        </w:tc>
        <w:tc>
          <w:tcPr>
            <w:tcW w:w="1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613,200</w:t>
            </w:r>
          </w:p>
        </w:tc>
      </w:tr>
      <w:tr>
        <w:trPr/>
        <w:tc>
          <w:tcPr>
            <w:tcW w:w="8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Оказание финансовых услуг на открытие невозобновляемой кредитной линии с лимитом выдачи в размере 4000,0 тыс.руб.</w:t>
            </w:r>
          </w:p>
        </w:tc>
        <w:tc>
          <w:tcPr>
            <w:tcW w:w="382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Получение кредитных ресурсов  в размере 4000,0 тыс.руб. для финансирования дефицита  бюджета и погашения долговых обязательств муниципального образования Лебяжский муниципальный район</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До 10.09.2017</w:t>
            </w:r>
          </w:p>
        </w:tc>
        <w:tc>
          <w:tcPr>
            <w:tcW w:w="198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131,960</w:t>
            </w:r>
          </w:p>
        </w:tc>
        <w:tc>
          <w:tcPr>
            <w:tcW w:w="12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395,880</w:t>
            </w:r>
          </w:p>
        </w:tc>
        <w:tc>
          <w:tcPr>
            <w:tcW w:w="13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sz w:val="28"/>
                <w:szCs w:val="28"/>
              </w:rPr>
            </w:pPr>
            <w:r>
              <w:rPr>
                <w:sz w:val="28"/>
                <w:szCs w:val="28"/>
              </w:rPr>
              <w:t>527,840</w:t>
            </w:r>
          </w:p>
        </w:tc>
      </w:tr>
    </w:tbl>
    <w:p>
      <w:pPr>
        <w:sectPr>
          <w:type w:val="nextPage"/>
          <w:pgSz w:orient="landscape" w:w="16838" w:h="11906"/>
          <w:pgMar w:left="1134" w:right="1134" w:header="0" w:top="1560" w:footer="0" w:bottom="850" w:gutter="0"/>
          <w:pgNumType w:fmt="decimal"/>
          <w:formProt w:val="false"/>
          <w:textDirection w:val="lrTb"/>
          <w:docGrid w:type="default" w:linePitch="360" w:charSpace="2047"/>
        </w:sectPr>
        <w:pStyle w:val="Normal"/>
        <w:pBdr>
          <w:bottom w:val="single" w:sz="12" w:space="1" w:color="00000A"/>
        </w:pBdr>
        <w:rPr>
          <w:sz w:val="28"/>
          <w:szCs w:val="28"/>
        </w:rPr>
      </w:pPr>
      <w:r>
        <w:rPr>
          <w:sz w:val="28"/>
          <w:szCs w:val="28"/>
        </w:rPr>
        <w:t xml:space="preserve">                </w:t>
      </w:r>
    </w:p>
    <w:p>
      <w:pPr>
        <w:pStyle w:val="Normal"/>
        <w:jc w:val="right"/>
        <w:rPr>
          <w:sz w:val="28"/>
          <w:szCs w:val="28"/>
        </w:rPr>
      </w:pPr>
      <w:r>
        <w:rPr/>
      </w:r>
    </w:p>
    <w:sectPr>
      <w:type w:val="nextPage"/>
      <w:pgSz w:w="11906" w:h="16838"/>
      <w:pgMar w:left="1560" w:right="850"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Arial">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95"/>
  <w:embedSystemFonts/>
  <w:defaultTabStop w:val="708"/>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ru-RU" w:eastAsia="ru-RU"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header"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locked="1" w:uiPriority="0" w:semiHidden="0" w:unhideWhenUsed="0"/>
    <w:lsdException w:name="Body Text Inde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94905"/>
    <w:pPr>
      <w:widowControl/>
      <w:suppressAutoHyphens w:val="true"/>
      <w:bidi w:val="0"/>
      <w:jc w:val="left"/>
    </w:pPr>
    <w:rPr>
      <w:rFonts w:ascii="Times New Roman" w:hAnsi="Times New Roman" w:eastAsia="Times New Roman" w:cs="Times New Roman"/>
      <w:color w:val="auto"/>
      <w:sz w:val="20"/>
      <w:szCs w:val="20"/>
      <w:lang w:eastAsia="zh-CN" w:val="ru-RU" w:bidi="ar-SA"/>
    </w:rPr>
  </w:style>
  <w:style w:type="paragraph" w:styleId="1">
    <w:name w:val="Заголовок 1"/>
    <w:basedOn w:val="Normal"/>
    <w:next w:val="Normal"/>
    <w:link w:val="Heading1Char"/>
    <w:uiPriority w:val="99"/>
    <w:qFormat/>
    <w:rsid w:val="00f94905"/>
    <w:pPr>
      <w:keepNext/>
      <w:tabs>
        <w:tab w:val="left" w:pos="720" w:leader="none"/>
      </w:tabs>
      <w:ind w:left="720" w:hanging="720"/>
      <w:jc w:val="center"/>
      <w:outlineLvl w:val="0"/>
    </w:pPr>
    <w:rPr>
      <w:b/>
      <w:bCs/>
      <w:spacing w:val="28"/>
      <w:sz w:val="28"/>
      <w:szCs w:val="28"/>
    </w:rPr>
  </w:style>
  <w:style w:type="paragraph" w:styleId="2">
    <w:name w:val="Заголовок 2"/>
    <w:basedOn w:val="Normal"/>
    <w:next w:val="Normal"/>
    <w:link w:val="Heading2Char"/>
    <w:uiPriority w:val="99"/>
    <w:qFormat/>
    <w:rsid w:val="00f94905"/>
    <w:pPr>
      <w:keepNext/>
      <w:tabs>
        <w:tab w:val="left" w:pos="1440" w:leader="none"/>
      </w:tabs>
      <w:ind w:left="1440" w:hanging="720"/>
      <w:jc w:val="center"/>
      <w:outlineLvl w:val="1"/>
    </w:pPr>
    <w:rPr>
      <w:b/>
      <w:bCs/>
      <w:sz w:val="32"/>
      <w:szCs w:val="32"/>
    </w:rPr>
  </w:style>
  <w:style w:type="paragraph" w:styleId="3">
    <w:name w:val="Заголовок 3"/>
    <w:basedOn w:val="Style11"/>
    <w:pPr/>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9"/>
    <w:qFormat/>
    <w:locked/>
    <w:rsid w:val="00f94905"/>
    <w:rPr>
      <w:rFonts w:ascii="Times New Roman" w:hAnsi="Times New Roman" w:cs="Times New Roman"/>
      <w:b/>
      <w:bCs/>
      <w:spacing w:val="28"/>
      <w:sz w:val="20"/>
      <w:szCs w:val="20"/>
      <w:lang w:eastAsia="zh-CN"/>
    </w:rPr>
  </w:style>
  <w:style w:type="character" w:styleId="Heading2Char" w:customStyle="1">
    <w:name w:val="Heading 2 Char"/>
    <w:basedOn w:val="DefaultParagraphFont"/>
    <w:link w:val="Heading2"/>
    <w:uiPriority w:val="99"/>
    <w:semiHidden/>
    <w:qFormat/>
    <w:locked/>
    <w:rsid w:val="00f94905"/>
    <w:rPr>
      <w:rFonts w:ascii="Times New Roman" w:hAnsi="Times New Roman" w:cs="Times New Roman"/>
      <w:b/>
      <w:bCs/>
      <w:sz w:val="20"/>
      <w:szCs w:val="20"/>
      <w:lang w:eastAsia="zh-CN"/>
    </w:rPr>
  </w:style>
  <w:style w:type="character" w:styleId="HeaderChar" w:customStyle="1">
    <w:name w:val="Header Char"/>
    <w:basedOn w:val="DefaultParagraphFont"/>
    <w:link w:val="Header"/>
    <w:uiPriority w:val="99"/>
    <w:qFormat/>
    <w:locked/>
    <w:rsid w:val="00f94905"/>
    <w:rPr>
      <w:rFonts w:ascii="Times New Roman" w:hAnsi="Times New Roman" w:cs="Times New Roman"/>
      <w:sz w:val="20"/>
      <w:szCs w:val="20"/>
      <w:lang w:eastAsia="zh-CN"/>
    </w:rPr>
  </w:style>
  <w:style w:type="character" w:styleId="BodyTextChar" w:customStyle="1">
    <w:name w:val="Body Text Char"/>
    <w:basedOn w:val="DefaultParagraphFont"/>
    <w:link w:val="BodyText"/>
    <w:uiPriority w:val="99"/>
    <w:qFormat/>
    <w:locked/>
    <w:rsid w:val="00f94905"/>
    <w:rPr>
      <w:rFonts w:ascii="Times New Roman" w:hAnsi="Times New Roman" w:cs="Times New Roman"/>
      <w:sz w:val="20"/>
      <w:szCs w:val="20"/>
      <w:lang w:eastAsia="zh-CN"/>
    </w:rPr>
  </w:style>
  <w:style w:type="character" w:styleId="BodyTextIndentChar" w:customStyle="1">
    <w:name w:val="Body Text Indent Char"/>
    <w:basedOn w:val="DefaultParagraphFont"/>
    <w:link w:val="BodyTextIndent"/>
    <w:uiPriority w:val="99"/>
    <w:semiHidden/>
    <w:qFormat/>
    <w:locked/>
    <w:rsid w:val="00f94905"/>
    <w:rPr>
      <w:rFonts w:ascii="Times New Roman" w:hAnsi="Times New Roman" w:cs="Times New Roman"/>
      <w:sz w:val="20"/>
      <w:szCs w:val="20"/>
      <w:lang w:eastAsia="zh-CN"/>
    </w:rPr>
  </w:style>
  <w:style w:type="character" w:styleId="BalloonTextChar" w:customStyle="1">
    <w:name w:val="Balloon Text Char"/>
    <w:basedOn w:val="DefaultParagraphFont"/>
    <w:link w:val="BalloonText"/>
    <w:uiPriority w:val="99"/>
    <w:semiHidden/>
    <w:qFormat/>
    <w:locked/>
    <w:rsid w:val="00f94905"/>
    <w:rPr>
      <w:rFonts w:ascii="Tahoma" w:hAnsi="Tahoma" w:cs="Tahoma"/>
      <w:sz w:val="16"/>
      <w:szCs w:val="16"/>
      <w:lang w:eastAsia="zh-CN"/>
    </w:rPr>
  </w:style>
  <w:style w:type="paragraph" w:styleId="Style11">
    <w:name w:val="Заголовок"/>
    <w:basedOn w:val="Normal"/>
    <w:next w:val="Style12"/>
    <w:qFormat/>
    <w:pPr>
      <w:keepNext/>
      <w:spacing w:before="240" w:after="120"/>
    </w:pPr>
    <w:rPr>
      <w:rFonts w:ascii="Times New Roman" w:hAnsi="Times New Roman" w:eastAsia="Arial Unicode MS" w:cs="Mangal"/>
      <w:sz w:val="28"/>
      <w:szCs w:val="28"/>
    </w:rPr>
  </w:style>
  <w:style w:type="paragraph" w:styleId="Style12">
    <w:name w:val="Основной текст"/>
    <w:basedOn w:val="Normal"/>
    <w:link w:val="BodyTextChar"/>
    <w:uiPriority w:val="99"/>
    <w:rsid w:val="00f94905"/>
    <w:pPr>
      <w:spacing w:before="0" w:after="120"/>
    </w:pPr>
    <w:rPr/>
  </w:style>
  <w:style w:type="paragraph" w:styleId="Style13">
    <w:name w:val="Список"/>
    <w:basedOn w:val="Style12"/>
    <w:pPr/>
    <w:rPr>
      <w:rFonts w:ascii="Times New Roman" w:hAnsi="Times New Roman" w:cs="Mangal"/>
    </w:rPr>
  </w:style>
  <w:style w:type="paragraph" w:styleId="Style14">
    <w:name w:val="Название"/>
    <w:basedOn w:val="Normal"/>
    <w:pPr>
      <w:suppressLineNumbers/>
      <w:spacing w:before="120" w:after="120"/>
    </w:pPr>
    <w:rPr>
      <w:rFonts w:ascii="Times New Roman" w:hAnsi="Times New Roman" w:cs="Mangal"/>
      <w:i/>
      <w:iCs/>
      <w:sz w:val="24"/>
      <w:szCs w:val="24"/>
    </w:rPr>
  </w:style>
  <w:style w:type="paragraph" w:styleId="Style15">
    <w:name w:val="Указатель"/>
    <w:basedOn w:val="Normal"/>
    <w:qFormat/>
    <w:pPr>
      <w:suppressLineNumbers/>
    </w:pPr>
    <w:rPr>
      <w:rFonts w:ascii="Times New Roman" w:hAnsi="Times New Roman" w:cs="Mangal"/>
    </w:rPr>
  </w:style>
  <w:style w:type="paragraph" w:styleId="Style16">
    <w:name w:val="Верхний колонтитул"/>
    <w:basedOn w:val="Normal"/>
    <w:link w:val="HeaderChar"/>
    <w:uiPriority w:val="99"/>
    <w:rsid w:val="00f94905"/>
    <w:pPr>
      <w:tabs>
        <w:tab w:val="center" w:pos="4677" w:leader="none"/>
        <w:tab w:val="right" w:pos="9355" w:leader="none"/>
      </w:tabs>
    </w:pPr>
    <w:rPr>
      <w:sz w:val="24"/>
      <w:szCs w:val="24"/>
    </w:rPr>
  </w:style>
  <w:style w:type="paragraph" w:styleId="Style17">
    <w:name w:val="Основной текст с отступом"/>
    <w:basedOn w:val="Normal"/>
    <w:link w:val="BodyTextIndentChar"/>
    <w:uiPriority w:val="99"/>
    <w:semiHidden/>
    <w:rsid w:val="00f94905"/>
    <w:pPr>
      <w:spacing w:before="0" w:after="120"/>
      <w:ind w:left="283" w:hanging="0"/>
    </w:pPr>
    <w:rPr/>
  </w:style>
  <w:style w:type="paragraph" w:styleId="ConsPlusNormal" w:customStyle="1">
    <w:name w:val="ConsPlusNormal"/>
    <w:uiPriority w:val="99"/>
    <w:qFormat/>
    <w:rsid w:val="00f94905"/>
    <w:pPr>
      <w:widowControl/>
      <w:suppressAutoHyphens w:val="true"/>
      <w:bidi w:val="0"/>
      <w:ind w:firstLine="720"/>
      <w:jc w:val="left"/>
    </w:pPr>
    <w:rPr>
      <w:rFonts w:ascii="Arial" w:hAnsi="Arial" w:cs="Arial" w:eastAsia="Calibri"/>
      <w:color w:val="auto"/>
      <w:sz w:val="20"/>
      <w:szCs w:val="20"/>
      <w:lang w:eastAsia="zh-CN" w:val="ru-RU" w:bidi="ar-SA"/>
    </w:rPr>
  </w:style>
  <w:style w:type="paragraph" w:styleId="BalloonText">
    <w:name w:val="Balloon Text"/>
    <w:basedOn w:val="Normal"/>
    <w:link w:val="BalloonTextChar"/>
    <w:uiPriority w:val="99"/>
    <w:semiHidden/>
    <w:qFormat/>
    <w:rsid w:val="00f94905"/>
    <w:pPr/>
    <w:rPr>
      <w:rFonts w:ascii="Tahoma" w:hAnsi="Tahoma" w:cs="Tahoma"/>
      <w:sz w:val="16"/>
      <w:szCs w:val="16"/>
    </w:rPr>
  </w:style>
  <w:style w:type="paragraph" w:styleId="Style18">
    <w:name w:val="Блочная цитата"/>
    <w:basedOn w:val="Normal"/>
    <w:qFormat/>
    <w:pPr/>
    <w:rPr/>
  </w:style>
  <w:style w:type="paragraph" w:styleId="Style19">
    <w:name w:val="Заглавие"/>
    <w:basedOn w:val="Style11"/>
    <w:pPr/>
    <w:rPr/>
  </w:style>
  <w:style w:type="paragraph" w:styleId="Style20">
    <w:name w:val="Подзаголовок"/>
    <w:basedOn w:val="Style11"/>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99"/>
    <w:rsid w:val="00d80ed7"/>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103</TotalTime>
  <Application>LibreOffice/5.0.2.2$Windows_x86 LibreOffice_project/37b43f919e4de5eeaca9b9755ed688758a8251fe</Application>
  <Paragraphs>46</Paragraphs>
  <Company>workgroup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2016-04-13T07:30:00Z</dcterms:created>
  <dc:creator>user</dc:creator>
  <dc:language>ru-RU</dc:language>
  <cp:lastPrinted>2016-08-10T07:17:00Z</cp:lastPrinted>
  <dcterms:modified xsi:type="dcterms:W3CDTF">2016-08-19T15:28:17Z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workgroup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